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b/>
          <w:sz w:val="32"/>
          <w:szCs w:val="32"/>
        </w:rPr>
      </w:pPr>
      <w:r>
        <w:rPr>
          <w:rFonts w:hint="eastAsia"/>
          <w:b/>
          <w:sz w:val="32"/>
          <w:szCs w:val="32"/>
        </w:rPr>
        <w:t>周口师范学院申请新增教育硕士专业学位授权点</w:t>
      </w:r>
    </w:p>
    <w:p>
      <w:pPr>
        <w:spacing w:line="520" w:lineRule="exact"/>
        <w:jc w:val="center"/>
        <w:rPr>
          <w:b/>
          <w:sz w:val="32"/>
          <w:szCs w:val="32"/>
        </w:rPr>
      </w:pPr>
      <w:r>
        <w:rPr>
          <w:rFonts w:hint="eastAsia"/>
          <w:b/>
          <w:sz w:val="32"/>
          <w:szCs w:val="32"/>
        </w:rPr>
        <w:t>需求论证报告</w:t>
      </w:r>
    </w:p>
    <w:p>
      <w:pPr>
        <w:spacing w:line="420" w:lineRule="exact"/>
        <w:ind w:firstLine="480" w:firstLineChars="200"/>
        <w:rPr>
          <w:sz w:val="24"/>
          <w:szCs w:val="24"/>
        </w:rPr>
      </w:pPr>
    </w:p>
    <w:p>
      <w:pPr>
        <w:spacing w:line="420" w:lineRule="exact"/>
        <w:ind w:firstLine="480" w:firstLineChars="200"/>
        <w:rPr>
          <w:rFonts w:ascii="仿宋" w:hAnsi="仿宋" w:eastAsia="仿宋"/>
          <w:b/>
          <w:sz w:val="24"/>
          <w:szCs w:val="24"/>
        </w:rPr>
      </w:pPr>
      <w:r>
        <w:rPr>
          <w:rFonts w:hint="eastAsia"/>
          <w:sz w:val="24"/>
          <w:szCs w:val="24"/>
        </w:rPr>
        <w:t>为满足河南省对应用型、复合型高级教育人才的需求，全面提升河南省尤其是周口市中小学基础教育的师资整体水平，根据社会与区域发展需要，按照国务院《关于印发&lt;博士硕士学位授权审核办法&gt;的通知》（学位〔2017〕9号）及河南省教育厅《河南省2017年新增学位授权审核申报指南》文件精神，结合学</w:t>
      </w:r>
      <w:r>
        <w:rPr>
          <w:rFonts w:hint="eastAsia"/>
          <w:sz w:val="24"/>
          <w:szCs w:val="24"/>
          <w:lang w:eastAsia="zh-CN"/>
        </w:rPr>
        <w:t>校</w:t>
      </w:r>
      <w:r>
        <w:rPr>
          <w:rFonts w:hint="eastAsia"/>
          <w:sz w:val="24"/>
          <w:szCs w:val="24"/>
        </w:rPr>
        <w:t>实际，周口师范学院教师教育专业提出新增教育硕士专业学位点申请（立项建设），提交需求论证报告如下：</w:t>
      </w:r>
    </w:p>
    <w:p>
      <w:pPr>
        <w:spacing w:line="540" w:lineRule="exact"/>
        <w:ind w:firstLine="472" w:firstLineChars="196"/>
        <w:rPr>
          <w:rFonts w:ascii="仿宋" w:hAnsi="仿宋" w:eastAsia="仿宋"/>
          <w:b/>
          <w:sz w:val="24"/>
          <w:szCs w:val="24"/>
        </w:rPr>
      </w:pPr>
      <w:r>
        <w:rPr>
          <w:rFonts w:hint="eastAsia" w:ascii="仿宋" w:hAnsi="仿宋" w:eastAsia="仿宋"/>
          <w:b/>
          <w:sz w:val="24"/>
          <w:szCs w:val="24"/>
        </w:rPr>
        <w:t>一、新增教育硕士专业学位授权点是满足河南省基础教育发展的需要</w:t>
      </w:r>
    </w:p>
    <w:p>
      <w:pPr>
        <w:spacing w:line="420" w:lineRule="exact"/>
        <w:ind w:firstLine="480" w:firstLineChars="200"/>
        <w:rPr>
          <w:sz w:val="24"/>
          <w:szCs w:val="24"/>
        </w:rPr>
      </w:pPr>
      <w:r>
        <w:rPr>
          <w:rFonts w:hint="eastAsia"/>
          <w:sz w:val="24"/>
          <w:szCs w:val="24"/>
        </w:rPr>
        <w:t>河南省是农业大省、人口大省、教育大省，教育人口占全国的十分之一，义务教育规模、职业教育规模均居全国首位。但河南省基础教育师资队伍长期存在学历水平和专业化程度偏低的问题，为改善河南省基础教师师资现状，实现河南省教育事业发展规划目标，大力发展教育硕士是当务之急。</w:t>
      </w:r>
    </w:p>
    <w:p>
      <w:pPr>
        <w:spacing w:line="420" w:lineRule="exact"/>
        <w:ind w:firstLine="482" w:firstLineChars="200"/>
        <w:rPr>
          <w:sz w:val="24"/>
          <w:szCs w:val="24"/>
        </w:rPr>
      </w:pPr>
      <w:r>
        <w:rPr>
          <w:rFonts w:hint="eastAsia"/>
          <w:b/>
          <w:sz w:val="24"/>
          <w:szCs w:val="24"/>
        </w:rPr>
        <w:t xml:space="preserve">1. </w:t>
      </w:r>
      <w:r>
        <w:rPr>
          <w:rFonts w:hint="eastAsia" w:ascii="仿宋" w:hAnsi="仿宋" w:eastAsia="仿宋"/>
          <w:b/>
          <w:sz w:val="24"/>
          <w:szCs w:val="24"/>
        </w:rPr>
        <w:t>新增</w:t>
      </w:r>
      <w:r>
        <w:rPr>
          <w:rFonts w:hint="eastAsia"/>
          <w:b/>
          <w:sz w:val="24"/>
          <w:szCs w:val="24"/>
        </w:rPr>
        <w:t>教育硕士专业学位授权点是改善高中阶段研究生教师占比偏低现状的需要。</w:t>
      </w:r>
      <w:r>
        <w:rPr>
          <w:rFonts w:hint="eastAsia"/>
          <w:sz w:val="24"/>
          <w:szCs w:val="24"/>
        </w:rPr>
        <w:t>《2016年河南省教育事业发展统计公报》显示，河南省普通高中792所，专任教师13.54万人，研究生学历教师占比8.06%，与周边省区尤其是东部沿海省市相比存在明显差距。</w:t>
      </w:r>
    </w:p>
    <w:p>
      <w:pPr>
        <w:spacing w:line="420" w:lineRule="exact"/>
        <w:ind w:firstLine="420" w:firstLineChars="200"/>
        <w:rPr>
          <w:rFonts w:ascii="楷体" w:hAnsi="楷体" w:eastAsia="楷体"/>
          <w:szCs w:val="21"/>
        </w:rPr>
      </w:pPr>
      <w:r>
        <w:rPr>
          <w:rFonts w:hint="eastAsia" w:ascii="楷体" w:hAnsi="楷体" w:eastAsia="楷体"/>
          <w:szCs w:val="21"/>
        </w:rPr>
        <w:t>表1：2016年河南省、浙江省高中专任教师硕士研究生统计</w:t>
      </w:r>
    </w:p>
    <w:tbl>
      <w:tblPr>
        <w:tblStyle w:val="10"/>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44"/>
        <w:gridCol w:w="241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3544" w:type="dxa"/>
            <w:tcBorders>
              <w:tl2br w:val="single" w:color="auto" w:sz="4" w:space="0"/>
            </w:tcBorders>
          </w:tcPr>
          <w:p>
            <w:pPr>
              <w:spacing w:line="420" w:lineRule="exact"/>
              <w:rPr>
                <w:rFonts w:ascii="楷体" w:hAnsi="楷体" w:eastAsia="楷体"/>
                <w:szCs w:val="21"/>
              </w:rPr>
            </w:pPr>
            <w:r>
              <w:rPr>
                <w:rFonts w:hint="eastAsia" w:ascii="楷体" w:hAnsi="楷体" w:eastAsia="楷体"/>
                <w:szCs w:val="21"/>
              </w:rPr>
              <w:t>类别                       省份</w:t>
            </w:r>
          </w:p>
        </w:tc>
        <w:tc>
          <w:tcPr>
            <w:tcW w:w="2410" w:type="dxa"/>
            <w:vAlign w:val="center"/>
          </w:tcPr>
          <w:p>
            <w:pPr>
              <w:spacing w:line="420" w:lineRule="exact"/>
              <w:jc w:val="center"/>
              <w:rPr>
                <w:rFonts w:ascii="楷体" w:hAnsi="楷体" w:eastAsia="楷体"/>
                <w:szCs w:val="21"/>
              </w:rPr>
            </w:pPr>
            <w:r>
              <w:rPr>
                <w:rFonts w:hint="eastAsia" w:ascii="楷体" w:hAnsi="楷体" w:eastAsia="楷体"/>
                <w:szCs w:val="21"/>
              </w:rPr>
              <w:t>河南省</w:t>
            </w:r>
          </w:p>
        </w:tc>
        <w:tc>
          <w:tcPr>
            <w:tcW w:w="1984" w:type="dxa"/>
            <w:vAlign w:val="center"/>
          </w:tcPr>
          <w:p>
            <w:pPr>
              <w:spacing w:line="420" w:lineRule="exact"/>
              <w:jc w:val="center"/>
              <w:rPr>
                <w:rFonts w:ascii="楷体" w:hAnsi="楷体" w:eastAsia="楷体"/>
                <w:szCs w:val="21"/>
              </w:rPr>
            </w:pPr>
            <w:r>
              <w:rPr>
                <w:rFonts w:hint="eastAsia" w:ascii="楷体" w:hAnsi="楷体" w:eastAsia="楷体"/>
                <w:szCs w:val="21"/>
              </w:rPr>
              <w:t>浙江省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3544" w:type="dxa"/>
            <w:vAlign w:val="center"/>
          </w:tcPr>
          <w:p>
            <w:pPr>
              <w:spacing w:line="420" w:lineRule="exact"/>
              <w:jc w:val="center"/>
              <w:rPr>
                <w:rFonts w:ascii="楷体" w:hAnsi="楷体" w:eastAsia="楷体"/>
                <w:szCs w:val="21"/>
              </w:rPr>
            </w:pPr>
            <w:r>
              <w:rPr>
                <w:rFonts w:hint="eastAsia" w:ascii="楷体" w:hAnsi="楷体" w:eastAsia="楷体"/>
                <w:szCs w:val="21"/>
              </w:rPr>
              <w:t>普通高中专任教师人数（万）</w:t>
            </w:r>
          </w:p>
        </w:tc>
        <w:tc>
          <w:tcPr>
            <w:tcW w:w="2410" w:type="dxa"/>
            <w:vAlign w:val="center"/>
          </w:tcPr>
          <w:p>
            <w:pPr>
              <w:spacing w:line="420" w:lineRule="exact"/>
              <w:jc w:val="center"/>
              <w:rPr>
                <w:rFonts w:ascii="楷体" w:hAnsi="楷体" w:eastAsia="楷体"/>
                <w:szCs w:val="21"/>
              </w:rPr>
            </w:pPr>
            <w:r>
              <w:rPr>
                <w:rFonts w:hint="eastAsia" w:ascii="楷体" w:hAnsi="楷体" w:eastAsia="楷体"/>
                <w:szCs w:val="21"/>
              </w:rPr>
              <w:t>13.54</w:t>
            </w:r>
          </w:p>
        </w:tc>
        <w:tc>
          <w:tcPr>
            <w:tcW w:w="1984" w:type="dxa"/>
            <w:vAlign w:val="center"/>
          </w:tcPr>
          <w:p>
            <w:pPr>
              <w:spacing w:line="420" w:lineRule="exact"/>
              <w:jc w:val="center"/>
              <w:rPr>
                <w:rFonts w:ascii="楷体" w:hAnsi="楷体" w:eastAsia="楷体"/>
                <w:szCs w:val="21"/>
              </w:rPr>
            </w:pPr>
            <w:r>
              <w:rPr>
                <w:rFonts w:hint="eastAsia" w:ascii="楷体" w:hAnsi="楷体" w:eastAsia="楷体"/>
                <w:szCs w:val="21"/>
              </w:rPr>
              <w:t>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3544" w:type="dxa"/>
            <w:vAlign w:val="center"/>
          </w:tcPr>
          <w:p>
            <w:pPr>
              <w:spacing w:line="420" w:lineRule="exact"/>
              <w:jc w:val="center"/>
              <w:rPr>
                <w:rFonts w:ascii="楷体" w:hAnsi="楷体" w:eastAsia="楷体"/>
                <w:szCs w:val="21"/>
              </w:rPr>
            </w:pPr>
            <w:r>
              <w:rPr>
                <w:rFonts w:hint="eastAsia" w:ascii="楷体" w:hAnsi="楷体" w:eastAsia="楷体"/>
                <w:szCs w:val="21"/>
              </w:rPr>
              <w:t>硕士学位教师人数（万）</w:t>
            </w:r>
          </w:p>
        </w:tc>
        <w:tc>
          <w:tcPr>
            <w:tcW w:w="2410" w:type="dxa"/>
            <w:vAlign w:val="center"/>
          </w:tcPr>
          <w:p>
            <w:pPr>
              <w:spacing w:line="420" w:lineRule="exact"/>
              <w:jc w:val="center"/>
              <w:rPr>
                <w:rFonts w:ascii="楷体" w:hAnsi="楷体" w:eastAsia="楷体"/>
                <w:szCs w:val="21"/>
              </w:rPr>
            </w:pPr>
            <w:r>
              <w:rPr>
                <w:rFonts w:hint="eastAsia" w:ascii="楷体" w:hAnsi="楷体" w:eastAsia="楷体"/>
                <w:szCs w:val="21"/>
              </w:rPr>
              <w:t>1.09</w:t>
            </w:r>
          </w:p>
        </w:tc>
        <w:tc>
          <w:tcPr>
            <w:tcW w:w="1984" w:type="dxa"/>
            <w:vAlign w:val="center"/>
          </w:tcPr>
          <w:p>
            <w:pPr>
              <w:spacing w:line="420" w:lineRule="exact"/>
              <w:jc w:val="center"/>
              <w:rPr>
                <w:rFonts w:ascii="楷体" w:hAnsi="楷体" w:eastAsia="楷体"/>
                <w:szCs w:val="21"/>
              </w:rPr>
            </w:pPr>
            <w:r>
              <w:rPr>
                <w:rFonts w:hint="eastAsia" w:ascii="楷体" w:hAnsi="楷体" w:eastAsia="楷体"/>
                <w:szCs w:val="21"/>
              </w:rPr>
              <w:t>1.13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3544" w:type="dxa"/>
            <w:vAlign w:val="center"/>
          </w:tcPr>
          <w:p>
            <w:pPr>
              <w:spacing w:line="420" w:lineRule="exact"/>
              <w:jc w:val="center"/>
              <w:rPr>
                <w:rFonts w:ascii="楷体" w:hAnsi="楷体" w:eastAsia="楷体"/>
                <w:szCs w:val="21"/>
              </w:rPr>
            </w:pPr>
            <w:r>
              <w:rPr>
                <w:rFonts w:hint="eastAsia" w:ascii="楷体" w:hAnsi="楷体" w:eastAsia="楷体"/>
                <w:szCs w:val="21"/>
              </w:rPr>
              <w:t>硕士研究生比例</w:t>
            </w:r>
          </w:p>
        </w:tc>
        <w:tc>
          <w:tcPr>
            <w:tcW w:w="2410" w:type="dxa"/>
            <w:vAlign w:val="center"/>
          </w:tcPr>
          <w:p>
            <w:pPr>
              <w:spacing w:line="420" w:lineRule="exact"/>
              <w:jc w:val="center"/>
              <w:rPr>
                <w:rFonts w:ascii="楷体" w:hAnsi="楷体" w:eastAsia="楷体"/>
                <w:szCs w:val="21"/>
              </w:rPr>
            </w:pPr>
            <w:r>
              <w:rPr>
                <w:rFonts w:ascii="楷体" w:hAnsi="楷体" w:eastAsia="楷体"/>
                <w:szCs w:val="21"/>
              </w:rPr>
              <w:t>8.06%</w:t>
            </w:r>
          </w:p>
        </w:tc>
        <w:tc>
          <w:tcPr>
            <w:tcW w:w="1984" w:type="dxa"/>
            <w:vAlign w:val="center"/>
          </w:tcPr>
          <w:p>
            <w:pPr>
              <w:spacing w:line="420" w:lineRule="exact"/>
              <w:jc w:val="center"/>
              <w:rPr>
                <w:rFonts w:ascii="楷体" w:hAnsi="楷体" w:eastAsia="楷体"/>
                <w:szCs w:val="21"/>
              </w:rPr>
            </w:pPr>
            <w:r>
              <w:rPr>
                <w:rFonts w:hint="eastAsia" w:ascii="楷体" w:hAnsi="楷体" w:eastAsia="楷体"/>
                <w:szCs w:val="21"/>
              </w:rPr>
              <w:t>16.7%</w:t>
            </w:r>
          </w:p>
        </w:tc>
      </w:tr>
    </w:tbl>
    <w:p>
      <w:pPr>
        <w:spacing w:line="420" w:lineRule="exact"/>
        <w:ind w:firstLine="525" w:firstLineChars="250"/>
        <w:rPr>
          <w:rFonts w:ascii="楷体" w:hAnsi="楷体" w:eastAsia="楷体"/>
          <w:szCs w:val="21"/>
        </w:rPr>
      </w:pPr>
      <w:r>
        <w:rPr>
          <w:rFonts w:hint="eastAsia" w:ascii="楷体" w:hAnsi="楷体" w:eastAsia="楷体"/>
          <w:szCs w:val="21"/>
        </w:rPr>
        <w:t>注：表中数据源自各省2016年教育事业发展统计公报</w:t>
      </w:r>
    </w:p>
    <w:p>
      <w:pPr>
        <w:spacing w:line="420" w:lineRule="exact"/>
        <w:ind w:firstLine="360" w:firstLineChars="150"/>
        <w:rPr>
          <w:sz w:val="24"/>
          <w:szCs w:val="24"/>
        </w:rPr>
      </w:pPr>
      <w:r>
        <w:rPr>
          <w:rFonts w:hint="eastAsia"/>
          <w:sz w:val="24"/>
          <w:szCs w:val="24"/>
        </w:rPr>
        <w:t>从表1可以看出，与浙江省相比，河南省高中研究生教师占比差距明显，《河南省教育事业发展“十三五”规划》提出：要构建高中教师本硕一体化分段培养模式。为缩小与沿海省市高中研究生教师占比的差距，贯彻落实河南省教育事业发展规划的精神，改善河南省高中研究生教师占比偏低的现状，必须大力发展硕士学位教育。</w:t>
      </w:r>
    </w:p>
    <w:p>
      <w:pPr>
        <w:spacing w:line="420" w:lineRule="exact"/>
        <w:ind w:firstLine="479" w:firstLineChars="199"/>
        <w:rPr>
          <w:sz w:val="24"/>
          <w:szCs w:val="24"/>
        </w:rPr>
      </w:pPr>
      <w:r>
        <w:rPr>
          <w:rFonts w:hint="eastAsia"/>
          <w:b/>
          <w:sz w:val="24"/>
          <w:szCs w:val="24"/>
        </w:rPr>
        <w:t>2.</w:t>
      </w:r>
      <w:r>
        <w:rPr>
          <w:rFonts w:hint="eastAsia"/>
        </w:rPr>
        <w:t xml:space="preserve"> </w:t>
      </w:r>
      <w:r>
        <w:rPr>
          <w:rFonts w:hint="eastAsia"/>
          <w:b/>
          <w:sz w:val="24"/>
          <w:szCs w:val="24"/>
        </w:rPr>
        <w:t>新增教育硕士专业学位授权点是提升河南省义务教育师资整体水平的需要。</w:t>
      </w:r>
      <w:r>
        <w:rPr>
          <w:rFonts w:hint="eastAsia"/>
          <w:sz w:val="24"/>
          <w:szCs w:val="24"/>
        </w:rPr>
        <w:t>《2016年河南省教育事业发展统计公报》显示，河南省义务教育阶段学校2.74万所，专任教师77.50万人，研究生教师占比不足1%，且主要集中在郑州、洛阳等市，存在明显的城乡差别。《河南省教育事业发展“十三五”规划》提出：</w:t>
      </w:r>
      <w:r>
        <w:rPr>
          <w:rFonts w:hint="eastAsia" w:asciiTheme="minorEastAsia" w:hAnsiTheme="minorEastAsia"/>
          <w:sz w:val="24"/>
          <w:szCs w:val="24"/>
        </w:rPr>
        <w:t>要完善农村教师补充机制，继续实施农村义务教育学校教师特设岗位计划和农村学校教育硕士师资培养计划。意味着义务教育阶段有大量教师需要接受硕士学位教育。</w:t>
      </w:r>
    </w:p>
    <w:p>
      <w:pPr>
        <w:spacing w:line="420" w:lineRule="exact"/>
        <w:ind w:firstLine="480" w:firstLineChars="200"/>
        <w:rPr>
          <w:sz w:val="24"/>
          <w:szCs w:val="24"/>
        </w:rPr>
      </w:pPr>
      <w:r>
        <w:rPr>
          <w:rFonts w:hint="eastAsia"/>
          <w:sz w:val="24"/>
          <w:szCs w:val="24"/>
        </w:rPr>
        <w:t>此外，河南省师范类本科毕业生每年2万多人，随着近几年大学生就业形势日益严峻，40%的毕业生把攻读教育硕士作为提高自己就业竞争力的砝码。</w:t>
      </w:r>
    </w:p>
    <w:p>
      <w:pPr>
        <w:spacing w:line="420" w:lineRule="exact"/>
        <w:ind w:firstLine="480" w:firstLineChars="200"/>
        <w:rPr>
          <w:sz w:val="24"/>
          <w:szCs w:val="24"/>
        </w:rPr>
      </w:pPr>
      <w:r>
        <w:rPr>
          <w:rFonts w:hint="eastAsia"/>
          <w:sz w:val="24"/>
          <w:szCs w:val="24"/>
        </w:rPr>
        <w:t>综上，河南省基础教育需要补充大量的高层次人才，但目前河南省6所教育硕士培养单位招生规模为每年600余人，远远不能满足河南省基础教育师资队伍提升学历的要求。</w:t>
      </w:r>
    </w:p>
    <w:p>
      <w:pPr>
        <w:spacing w:line="500" w:lineRule="exact"/>
        <w:ind w:firstLine="472" w:firstLineChars="196"/>
        <w:rPr>
          <w:rFonts w:ascii="仿宋" w:hAnsi="仿宋" w:eastAsia="仿宋"/>
          <w:b/>
          <w:sz w:val="24"/>
          <w:szCs w:val="24"/>
        </w:rPr>
      </w:pPr>
      <w:r>
        <w:rPr>
          <w:rFonts w:hint="eastAsia" w:ascii="仿宋" w:hAnsi="仿宋" w:eastAsia="仿宋"/>
          <w:b/>
          <w:sz w:val="24"/>
          <w:szCs w:val="24"/>
        </w:rPr>
        <w:t>二、新增教育硕士专业学位授权点是提升周口市基础教育整体水平的需要</w:t>
      </w:r>
    </w:p>
    <w:p>
      <w:pPr>
        <w:spacing w:line="420" w:lineRule="exact"/>
        <w:ind w:firstLine="480" w:firstLineChars="200"/>
        <w:rPr>
          <w:sz w:val="24"/>
          <w:szCs w:val="24"/>
        </w:rPr>
      </w:pPr>
      <w:r>
        <w:rPr>
          <w:rFonts w:hint="eastAsia"/>
          <w:sz w:val="24"/>
          <w:szCs w:val="24"/>
        </w:rPr>
        <w:t>周口市是人口大市，总人口达1149万（2016周口市统计公报）。周口市基础教育在河南省基础教育中占有重要的地位，据《2016年河南省教育事业发展统计》，河南省中小学在校生共1709.25万人，周口市中小学在校生共162.1万人，占9.48%。但是周口市基础教育师资整体水平较低，改变师资现状对周口市由基础教育大市向基础教育强市跨进起着至关重要的作用。</w:t>
      </w:r>
    </w:p>
    <w:p>
      <w:pPr>
        <w:spacing w:line="420" w:lineRule="exact"/>
        <w:ind w:firstLine="482" w:firstLineChars="200"/>
        <w:rPr>
          <w:sz w:val="24"/>
          <w:szCs w:val="24"/>
        </w:rPr>
      </w:pPr>
      <w:r>
        <w:rPr>
          <w:rFonts w:hint="eastAsia"/>
          <w:b/>
          <w:sz w:val="24"/>
          <w:szCs w:val="24"/>
        </w:rPr>
        <w:t>1.</w:t>
      </w:r>
      <w:r>
        <w:rPr>
          <w:rFonts w:hint="eastAsia"/>
        </w:rPr>
        <w:t xml:space="preserve"> </w:t>
      </w:r>
      <w:r>
        <w:rPr>
          <w:rFonts w:hint="eastAsia"/>
          <w:b/>
          <w:sz w:val="24"/>
          <w:szCs w:val="24"/>
        </w:rPr>
        <w:t>新增教育硕士专业学位授权点是改善周口市高中研究生教师占比偏低的需要。</w:t>
      </w:r>
      <w:r>
        <w:rPr>
          <w:rFonts w:hint="eastAsia"/>
          <w:sz w:val="24"/>
          <w:szCs w:val="24"/>
        </w:rPr>
        <w:t>周口市在高中阶段教育取得了一定的成绩，2012年以来，有439名学子考入北大、清华，遥遥领先于河南其</w:t>
      </w:r>
      <w:r>
        <w:rPr>
          <w:rFonts w:hint="eastAsia"/>
          <w:sz w:val="24"/>
          <w:szCs w:val="24"/>
          <w:lang w:eastAsia="zh-CN"/>
        </w:rPr>
        <w:t>它</w:t>
      </w:r>
      <w:r>
        <w:rPr>
          <w:rFonts w:hint="eastAsia"/>
          <w:sz w:val="24"/>
          <w:szCs w:val="24"/>
        </w:rPr>
        <w:t>地市。但受历史和现实的各种因素影响，与省内其它地市相比，周口市普通高中现有教师队伍中，具有硕士学位的人数少，比例低，见表2。</w:t>
      </w:r>
    </w:p>
    <w:p>
      <w:pPr>
        <w:spacing w:line="420" w:lineRule="exact"/>
        <w:ind w:firstLine="525" w:firstLineChars="250"/>
        <w:rPr>
          <w:rFonts w:ascii="楷体" w:hAnsi="楷体" w:eastAsia="楷体"/>
          <w:szCs w:val="21"/>
        </w:rPr>
      </w:pPr>
      <w:r>
        <w:rPr>
          <w:rFonts w:hint="eastAsia" w:ascii="楷体" w:hAnsi="楷体" w:eastAsia="楷体"/>
          <w:szCs w:val="21"/>
        </w:rPr>
        <w:t>表2：河南省部分地市级高中专任教师中具备硕士学位人数统计表</w:t>
      </w:r>
    </w:p>
    <w:tbl>
      <w:tblPr>
        <w:tblStyle w:val="10"/>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51"/>
        <w:gridCol w:w="1207"/>
        <w:gridCol w:w="1222"/>
        <w:gridCol w:w="1222"/>
        <w:gridCol w:w="1222"/>
        <w:gridCol w:w="1071"/>
        <w:gridCol w:w="10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728" w:hRule="atLeast"/>
        </w:trPr>
        <w:tc>
          <w:tcPr>
            <w:tcW w:w="1451" w:type="dxa"/>
            <w:tcBorders>
              <w:tl2br w:val="single" w:color="auto" w:sz="4" w:space="0"/>
            </w:tcBorders>
          </w:tcPr>
          <w:p>
            <w:pPr>
              <w:spacing w:line="80" w:lineRule="atLeast"/>
              <w:rPr>
                <w:rFonts w:ascii="楷体" w:hAnsi="楷体" w:eastAsia="楷体"/>
                <w:szCs w:val="21"/>
              </w:rPr>
            </w:pPr>
            <w:r>
              <w:rPr>
                <w:rFonts w:hint="eastAsia" w:ascii="楷体" w:hAnsi="楷体" w:eastAsia="楷体"/>
                <w:szCs w:val="21"/>
              </w:rPr>
              <w:t xml:space="preserve">     学校 </w:t>
            </w:r>
          </w:p>
          <w:p>
            <w:pPr>
              <w:spacing w:line="80" w:lineRule="atLeast"/>
              <w:rPr>
                <w:rFonts w:ascii="楷体" w:hAnsi="楷体" w:eastAsia="楷体"/>
                <w:szCs w:val="21"/>
              </w:rPr>
            </w:pPr>
            <w:r>
              <w:rPr>
                <w:rFonts w:hint="eastAsia" w:ascii="楷体" w:hAnsi="楷体" w:eastAsia="楷体"/>
                <w:szCs w:val="21"/>
              </w:rPr>
              <w:t>类别</w:t>
            </w:r>
          </w:p>
        </w:tc>
        <w:tc>
          <w:tcPr>
            <w:tcW w:w="1207" w:type="dxa"/>
          </w:tcPr>
          <w:p>
            <w:pPr>
              <w:spacing w:line="80" w:lineRule="atLeast"/>
              <w:ind w:firstLine="210" w:firstLineChars="100"/>
              <w:rPr>
                <w:rFonts w:ascii="楷体" w:hAnsi="楷体" w:eastAsia="楷体"/>
                <w:szCs w:val="21"/>
              </w:rPr>
            </w:pPr>
            <w:r>
              <w:rPr>
                <w:rFonts w:hint="eastAsia" w:ascii="楷体" w:hAnsi="楷体" w:eastAsia="楷体"/>
                <w:szCs w:val="21"/>
              </w:rPr>
              <w:t>周口市</w:t>
            </w:r>
          </w:p>
          <w:p>
            <w:pPr>
              <w:spacing w:line="80" w:lineRule="atLeast"/>
              <w:rPr>
                <w:rFonts w:ascii="楷体" w:hAnsi="楷体" w:eastAsia="楷体"/>
                <w:szCs w:val="21"/>
              </w:rPr>
            </w:pPr>
            <w:r>
              <w:rPr>
                <w:rFonts w:hint="eastAsia" w:ascii="楷体" w:hAnsi="楷体" w:eastAsia="楷体"/>
                <w:szCs w:val="21"/>
              </w:rPr>
              <w:t>郸城一高</w:t>
            </w:r>
          </w:p>
        </w:tc>
        <w:tc>
          <w:tcPr>
            <w:tcW w:w="1222" w:type="dxa"/>
            <w:vAlign w:val="center"/>
          </w:tcPr>
          <w:p>
            <w:pPr>
              <w:spacing w:line="80" w:lineRule="atLeast"/>
              <w:jc w:val="center"/>
              <w:rPr>
                <w:rFonts w:ascii="楷体" w:hAnsi="楷体" w:eastAsia="楷体"/>
                <w:szCs w:val="21"/>
              </w:rPr>
            </w:pPr>
            <w:r>
              <w:rPr>
                <w:rFonts w:hint="eastAsia" w:ascii="楷体" w:hAnsi="楷体" w:eastAsia="楷体"/>
                <w:szCs w:val="21"/>
              </w:rPr>
              <w:t>新乡市</w:t>
            </w:r>
          </w:p>
          <w:p>
            <w:pPr>
              <w:spacing w:line="80" w:lineRule="atLeast"/>
              <w:jc w:val="center"/>
              <w:rPr>
                <w:rFonts w:ascii="楷体" w:hAnsi="楷体" w:eastAsia="楷体"/>
                <w:szCs w:val="21"/>
              </w:rPr>
            </w:pPr>
            <w:r>
              <w:rPr>
                <w:rFonts w:hint="eastAsia" w:ascii="楷体" w:hAnsi="楷体" w:eastAsia="楷体"/>
                <w:szCs w:val="21"/>
              </w:rPr>
              <w:t>一中</w:t>
            </w:r>
          </w:p>
        </w:tc>
        <w:tc>
          <w:tcPr>
            <w:tcW w:w="1222" w:type="dxa"/>
            <w:vAlign w:val="center"/>
          </w:tcPr>
          <w:p>
            <w:pPr>
              <w:spacing w:line="80" w:lineRule="atLeast"/>
              <w:jc w:val="center"/>
              <w:rPr>
                <w:rFonts w:ascii="楷体" w:hAnsi="楷体" w:eastAsia="楷体"/>
                <w:szCs w:val="21"/>
              </w:rPr>
            </w:pPr>
            <w:r>
              <w:rPr>
                <w:rFonts w:hint="eastAsia" w:ascii="楷体" w:hAnsi="楷体" w:eastAsia="楷体"/>
                <w:szCs w:val="21"/>
              </w:rPr>
              <w:t>洛阳市</w:t>
            </w:r>
          </w:p>
          <w:p>
            <w:pPr>
              <w:spacing w:line="80" w:lineRule="atLeast"/>
              <w:jc w:val="center"/>
              <w:rPr>
                <w:rFonts w:ascii="楷体" w:hAnsi="楷体" w:eastAsia="楷体"/>
                <w:szCs w:val="21"/>
              </w:rPr>
            </w:pPr>
            <w:r>
              <w:rPr>
                <w:rFonts w:hint="eastAsia" w:ascii="楷体" w:hAnsi="楷体" w:eastAsia="楷体"/>
                <w:szCs w:val="21"/>
              </w:rPr>
              <w:t>一高</w:t>
            </w:r>
          </w:p>
        </w:tc>
        <w:tc>
          <w:tcPr>
            <w:tcW w:w="1222" w:type="dxa"/>
            <w:vAlign w:val="center"/>
          </w:tcPr>
          <w:p>
            <w:pPr>
              <w:spacing w:line="80" w:lineRule="atLeast"/>
              <w:jc w:val="center"/>
              <w:rPr>
                <w:rFonts w:ascii="楷体" w:hAnsi="楷体" w:eastAsia="楷体"/>
                <w:szCs w:val="21"/>
              </w:rPr>
            </w:pPr>
            <w:r>
              <w:rPr>
                <w:rFonts w:hint="eastAsia" w:ascii="楷体" w:hAnsi="楷体" w:eastAsia="楷体"/>
                <w:szCs w:val="21"/>
              </w:rPr>
              <w:t>南阳市</w:t>
            </w:r>
          </w:p>
          <w:p>
            <w:pPr>
              <w:spacing w:line="80" w:lineRule="atLeast"/>
              <w:jc w:val="center"/>
              <w:rPr>
                <w:rFonts w:ascii="楷体" w:hAnsi="楷体" w:eastAsia="楷体"/>
                <w:szCs w:val="21"/>
              </w:rPr>
            </w:pPr>
            <w:r>
              <w:rPr>
                <w:rFonts w:hint="eastAsia" w:ascii="楷体" w:hAnsi="楷体" w:eastAsia="楷体"/>
                <w:szCs w:val="21"/>
              </w:rPr>
              <w:t>一中</w:t>
            </w:r>
          </w:p>
        </w:tc>
        <w:tc>
          <w:tcPr>
            <w:tcW w:w="1071" w:type="dxa"/>
            <w:vAlign w:val="center"/>
          </w:tcPr>
          <w:p>
            <w:pPr>
              <w:spacing w:line="80" w:lineRule="atLeast"/>
              <w:jc w:val="center"/>
              <w:rPr>
                <w:rFonts w:ascii="楷体" w:hAnsi="楷体" w:eastAsia="楷体"/>
                <w:szCs w:val="21"/>
              </w:rPr>
            </w:pPr>
            <w:r>
              <w:rPr>
                <w:rFonts w:hint="eastAsia" w:ascii="楷体" w:hAnsi="楷体" w:eastAsia="楷体"/>
                <w:szCs w:val="21"/>
              </w:rPr>
              <w:t>信阳市</w:t>
            </w:r>
          </w:p>
          <w:p>
            <w:pPr>
              <w:spacing w:line="80" w:lineRule="atLeast"/>
              <w:jc w:val="center"/>
              <w:rPr>
                <w:rFonts w:ascii="楷体" w:hAnsi="楷体" w:eastAsia="楷体"/>
                <w:szCs w:val="21"/>
              </w:rPr>
            </w:pPr>
            <w:r>
              <w:rPr>
                <w:rFonts w:hint="eastAsia" w:ascii="楷体" w:hAnsi="楷体" w:eastAsia="楷体"/>
                <w:szCs w:val="21"/>
              </w:rPr>
              <w:t>高中</w:t>
            </w:r>
          </w:p>
        </w:tc>
        <w:tc>
          <w:tcPr>
            <w:tcW w:w="1019" w:type="dxa"/>
            <w:vAlign w:val="center"/>
          </w:tcPr>
          <w:p>
            <w:pPr>
              <w:spacing w:line="80" w:lineRule="atLeast"/>
              <w:jc w:val="center"/>
              <w:rPr>
                <w:rFonts w:ascii="楷体" w:hAnsi="楷体" w:eastAsia="楷体"/>
                <w:szCs w:val="21"/>
              </w:rPr>
            </w:pPr>
            <w:r>
              <w:rPr>
                <w:rFonts w:hint="eastAsia" w:ascii="楷体" w:hAnsi="楷体" w:eastAsia="楷体"/>
                <w:szCs w:val="21"/>
              </w:rPr>
              <w:t>河南省概况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51" w:type="dxa"/>
            <w:vAlign w:val="center"/>
          </w:tcPr>
          <w:p>
            <w:pPr>
              <w:spacing w:line="420" w:lineRule="exact"/>
              <w:jc w:val="center"/>
              <w:rPr>
                <w:rFonts w:ascii="楷体" w:hAnsi="楷体" w:eastAsia="楷体"/>
                <w:szCs w:val="21"/>
              </w:rPr>
            </w:pPr>
            <w:r>
              <w:rPr>
                <w:rFonts w:hint="eastAsia" w:ascii="楷体" w:hAnsi="楷体" w:eastAsia="楷体"/>
                <w:szCs w:val="21"/>
              </w:rPr>
              <w:t>研究生教师</w:t>
            </w:r>
          </w:p>
        </w:tc>
        <w:tc>
          <w:tcPr>
            <w:tcW w:w="1207" w:type="dxa"/>
            <w:vAlign w:val="center"/>
          </w:tcPr>
          <w:p>
            <w:pPr>
              <w:spacing w:line="420" w:lineRule="exact"/>
              <w:jc w:val="center"/>
              <w:rPr>
                <w:rFonts w:ascii="楷体" w:hAnsi="楷体" w:eastAsia="楷体"/>
                <w:szCs w:val="21"/>
              </w:rPr>
            </w:pPr>
            <w:r>
              <w:rPr>
                <w:rFonts w:hint="eastAsia" w:ascii="楷体" w:hAnsi="楷体" w:eastAsia="楷体"/>
                <w:szCs w:val="21"/>
              </w:rPr>
              <w:t>29</w:t>
            </w:r>
          </w:p>
        </w:tc>
        <w:tc>
          <w:tcPr>
            <w:tcW w:w="1222" w:type="dxa"/>
            <w:vAlign w:val="center"/>
          </w:tcPr>
          <w:p>
            <w:pPr>
              <w:spacing w:line="420" w:lineRule="exact"/>
              <w:ind w:firstLine="210" w:firstLineChars="100"/>
              <w:jc w:val="center"/>
              <w:rPr>
                <w:rFonts w:ascii="楷体" w:hAnsi="楷体" w:eastAsia="楷体"/>
                <w:szCs w:val="21"/>
              </w:rPr>
            </w:pPr>
            <w:r>
              <w:rPr>
                <w:rFonts w:hint="eastAsia" w:ascii="楷体" w:hAnsi="楷体" w:eastAsia="楷体"/>
                <w:szCs w:val="21"/>
              </w:rPr>
              <w:t>198</w:t>
            </w:r>
          </w:p>
        </w:tc>
        <w:tc>
          <w:tcPr>
            <w:tcW w:w="1222" w:type="dxa"/>
            <w:vAlign w:val="center"/>
          </w:tcPr>
          <w:p>
            <w:pPr>
              <w:spacing w:line="420" w:lineRule="exact"/>
              <w:ind w:firstLine="210" w:firstLineChars="100"/>
              <w:jc w:val="center"/>
              <w:rPr>
                <w:rFonts w:ascii="楷体" w:hAnsi="楷体" w:eastAsia="楷体"/>
                <w:szCs w:val="21"/>
              </w:rPr>
            </w:pPr>
            <w:r>
              <w:rPr>
                <w:rFonts w:hint="eastAsia" w:ascii="楷体" w:hAnsi="楷体" w:eastAsia="楷体"/>
                <w:szCs w:val="21"/>
              </w:rPr>
              <w:t>32</w:t>
            </w:r>
          </w:p>
        </w:tc>
        <w:tc>
          <w:tcPr>
            <w:tcW w:w="1222" w:type="dxa"/>
            <w:vAlign w:val="center"/>
          </w:tcPr>
          <w:p>
            <w:pPr>
              <w:spacing w:line="420" w:lineRule="exact"/>
              <w:jc w:val="center"/>
              <w:rPr>
                <w:rFonts w:ascii="楷体" w:hAnsi="楷体" w:eastAsia="楷体"/>
                <w:szCs w:val="21"/>
              </w:rPr>
            </w:pPr>
            <w:r>
              <w:rPr>
                <w:rFonts w:hint="eastAsia" w:ascii="楷体" w:hAnsi="楷体" w:eastAsia="楷体"/>
                <w:szCs w:val="21"/>
              </w:rPr>
              <w:t>34</w:t>
            </w:r>
          </w:p>
        </w:tc>
        <w:tc>
          <w:tcPr>
            <w:tcW w:w="1071" w:type="dxa"/>
            <w:vAlign w:val="center"/>
          </w:tcPr>
          <w:p>
            <w:pPr>
              <w:spacing w:line="420" w:lineRule="exact"/>
              <w:jc w:val="center"/>
              <w:rPr>
                <w:rFonts w:ascii="楷体" w:hAnsi="楷体" w:eastAsia="楷体"/>
                <w:szCs w:val="21"/>
              </w:rPr>
            </w:pPr>
            <w:r>
              <w:rPr>
                <w:rFonts w:hint="eastAsia" w:ascii="楷体" w:hAnsi="楷体" w:eastAsia="楷体"/>
                <w:szCs w:val="21"/>
              </w:rPr>
              <w:t>39</w:t>
            </w:r>
          </w:p>
        </w:tc>
        <w:tc>
          <w:tcPr>
            <w:tcW w:w="1019" w:type="dxa"/>
            <w:vAlign w:val="center"/>
          </w:tcPr>
          <w:p>
            <w:pPr>
              <w:spacing w:line="420" w:lineRule="exact"/>
              <w:jc w:val="center"/>
              <w:rPr>
                <w:rFonts w:ascii="楷体" w:hAnsi="楷体" w:eastAsia="楷体"/>
                <w:szCs w:val="21"/>
              </w:rPr>
            </w:pPr>
            <w:r>
              <w:rPr>
                <w:rFonts w:hint="eastAsia" w:ascii="楷体" w:hAnsi="楷体" w:eastAsia="楷体"/>
                <w:szCs w:val="21"/>
              </w:rPr>
              <w:t>1.09万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51" w:type="dxa"/>
            <w:vAlign w:val="center"/>
          </w:tcPr>
          <w:p>
            <w:pPr>
              <w:spacing w:line="420" w:lineRule="exact"/>
              <w:jc w:val="center"/>
              <w:rPr>
                <w:rFonts w:ascii="楷体" w:hAnsi="楷体" w:eastAsia="楷体"/>
                <w:szCs w:val="21"/>
              </w:rPr>
            </w:pPr>
            <w:r>
              <w:rPr>
                <w:rFonts w:hint="eastAsia" w:ascii="楷体" w:hAnsi="楷体" w:eastAsia="楷体"/>
                <w:szCs w:val="21"/>
              </w:rPr>
              <w:t>专任教师</w:t>
            </w:r>
          </w:p>
        </w:tc>
        <w:tc>
          <w:tcPr>
            <w:tcW w:w="1207" w:type="dxa"/>
            <w:vAlign w:val="center"/>
          </w:tcPr>
          <w:p>
            <w:pPr>
              <w:spacing w:line="420" w:lineRule="exact"/>
              <w:jc w:val="center"/>
              <w:rPr>
                <w:rFonts w:ascii="楷体" w:hAnsi="楷体" w:eastAsia="楷体"/>
                <w:szCs w:val="21"/>
              </w:rPr>
            </w:pPr>
            <w:r>
              <w:rPr>
                <w:rFonts w:hint="eastAsia" w:ascii="楷体" w:hAnsi="楷体" w:eastAsia="楷体"/>
                <w:szCs w:val="21"/>
              </w:rPr>
              <w:t>496</w:t>
            </w:r>
          </w:p>
        </w:tc>
        <w:tc>
          <w:tcPr>
            <w:tcW w:w="1222" w:type="dxa"/>
            <w:vAlign w:val="center"/>
          </w:tcPr>
          <w:p>
            <w:pPr>
              <w:spacing w:line="420" w:lineRule="exact"/>
              <w:ind w:firstLine="210" w:firstLineChars="100"/>
              <w:jc w:val="center"/>
              <w:rPr>
                <w:rFonts w:ascii="楷体" w:hAnsi="楷体" w:eastAsia="楷体"/>
                <w:szCs w:val="21"/>
              </w:rPr>
            </w:pPr>
            <w:r>
              <w:rPr>
                <w:rFonts w:hint="eastAsia" w:ascii="楷体" w:hAnsi="楷体" w:eastAsia="楷体"/>
                <w:szCs w:val="21"/>
              </w:rPr>
              <w:t>887</w:t>
            </w:r>
          </w:p>
        </w:tc>
        <w:tc>
          <w:tcPr>
            <w:tcW w:w="1222" w:type="dxa"/>
            <w:vAlign w:val="center"/>
          </w:tcPr>
          <w:p>
            <w:pPr>
              <w:spacing w:line="420" w:lineRule="exact"/>
              <w:ind w:firstLine="210" w:firstLineChars="100"/>
              <w:jc w:val="center"/>
              <w:rPr>
                <w:rFonts w:ascii="楷体" w:hAnsi="楷体" w:eastAsia="楷体"/>
                <w:szCs w:val="21"/>
              </w:rPr>
            </w:pPr>
            <w:r>
              <w:rPr>
                <w:rFonts w:hint="eastAsia" w:ascii="楷体" w:hAnsi="楷体" w:eastAsia="楷体"/>
                <w:szCs w:val="21"/>
              </w:rPr>
              <w:t>304</w:t>
            </w:r>
          </w:p>
        </w:tc>
        <w:tc>
          <w:tcPr>
            <w:tcW w:w="1222" w:type="dxa"/>
            <w:vAlign w:val="center"/>
          </w:tcPr>
          <w:p>
            <w:pPr>
              <w:spacing w:line="420" w:lineRule="exact"/>
              <w:jc w:val="center"/>
              <w:rPr>
                <w:rFonts w:ascii="楷体" w:hAnsi="楷体" w:eastAsia="楷体"/>
                <w:szCs w:val="21"/>
              </w:rPr>
            </w:pPr>
            <w:r>
              <w:rPr>
                <w:rFonts w:hint="eastAsia" w:ascii="楷体" w:hAnsi="楷体" w:eastAsia="楷体"/>
                <w:szCs w:val="21"/>
              </w:rPr>
              <w:t>228</w:t>
            </w:r>
          </w:p>
        </w:tc>
        <w:tc>
          <w:tcPr>
            <w:tcW w:w="1071" w:type="dxa"/>
            <w:vAlign w:val="center"/>
          </w:tcPr>
          <w:p>
            <w:pPr>
              <w:spacing w:line="420" w:lineRule="exact"/>
              <w:jc w:val="center"/>
              <w:rPr>
                <w:rFonts w:ascii="楷体" w:hAnsi="楷体" w:eastAsia="楷体"/>
                <w:szCs w:val="21"/>
              </w:rPr>
            </w:pPr>
            <w:r>
              <w:rPr>
                <w:rFonts w:hint="eastAsia" w:ascii="楷体" w:hAnsi="楷体" w:eastAsia="楷体"/>
                <w:szCs w:val="21"/>
              </w:rPr>
              <w:t>260</w:t>
            </w:r>
          </w:p>
        </w:tc>
        <w:tc>
          <w:tcPr>
            <w:tcW w:w="1019" w:type="dxa"/>
            <w:vAlign w:val="center"/>
          </w:tcPr>
          <w:p>
            <w:pPr>
              <w:spacing w:line="420" w:lineRule="exact"/>
              <w:jc w:val="center"/>
              <w:rPr>
                <w:rFonts w:ascii="楷体" w:hAnsi="楷体" w:eastAsia="楷体"/>
                <w:szCs w:val="21"/>
              </w:rPr>
            </w:pPr>
            <w:r>
              <w:rPr>
                <w:rFonts w:hint="eastAsia" w:ascii="楷体" w:hAnsi="楷体" w:eastAsia="楷体"/>
                <w:szCs w:val="21"/>
              </w:rPr>
              <w:t>13.54万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51" w:type="dxa"/>
            <w:vAlign w:val="center"/>
          </w:tcPr>
          <w:p>
            <w:pPr>
              <w:spacing w:line="420" w:lineRule="exact"/>
              <w:jc w:val="center"/>
              <w:rPr>
                <w:rFonts w:ascii="楷体" w:hAnsi="楷体" w:eastAsia="楷体"/>
                <w:szCs w:val="21"/>
              </w:rPr>
            </w:pPr>
            <w:r>
              <w:rPr>
                <w:rFonts w:hint="eastAsia" w:ascii="楷体" w:hAnsi="楷体" w:eastAsia="楷体"/>
                <w:szCs w:val="21"/>
              </w:rPr>
              <w:t>在校生</w:t>
            </w:r>
          </w:p>
        </w:tc>
        <w:tc>
          <w:tcPr>
            <w:tcW w:w="1207" w:type="dxa"/>
            <w:vAlign w:val="center"/>
          </w:tcPr>
          <w:p>
            <w:pPr>
              <w:spacing w:line="420" w:lineRule="exact"/>
              <w:jc w:val="center"/>
              <w:rPr>
                <w:rFonts w:ascii="楷体" w:hAnsi="楷体" w:eastAsia="楷体"/>
                <w:szCs w:val="21"/>
              </w:rPr>
            </w:pPr>
            <w:r>
              <w:rPr>
                <w:rFonts w:hint="eastAsia" w:ascii="楷体" w:hAnsi="楷体" w:eastAsia="楷体"/>
                <w:szCs w:val="21"/>
              </w:rPr>
              <w:t>9000</w:t>
            </w:r>
          </w:p>
        </w:tc>
        <w:tc>
          <w:tcPr>
            <w:tcW w:w="1222" w:type="dxa"/>
            <w:vAlign w:val="center"/>
          </w:tcPr>
          <w:p>
            <w:pPr>
              <w:spacing w:line="420" w:lineRule="exact"/>
              <w:ind w:firstLine="210" w:firstLineChars="100"/>
              <w:jc w:val="center"/>
              <w:rPr>
                <w:rFonts w:ascii="楷体" w:hAnsi="楷体" w:eastAsia="楷体"/>
                <w:szCs w:val="21"/>
              </w:rPr>
            </w:pPr>
            <w:r>
              <w:rPr>
                <w:rFonts w:hint="eastAsia" w:ascii="楷体" w:hAnsi="楷体" w:eastAsia="楷体"/>
                <w:szCs w:val="21"/>
              </w:rPr>
              <w:t>14000</w:t>
            </w:r>
          </w:p>
        </w:tc>
        <w:tc>
          <w:tcPr>
            <w:tcW w:w="1222" w:type="dxa"/>
            <w:vAlign w:val="center"/>
          </w:tcPr>
          <w:p>
            <w:pPr>
              <w:spacing w:line="420" w:lineRule="exact"/>
              <w:ind w:firstLine="210" w:firstLineChars="100"/>
              <w:jc w:val="center"/>
              <w:rPr>
                <w:rFonts w:ascii="楷体" w:hAnsi="楷体" w:eastAsia="楷体"/>
                <w:szCs w:val="21"/>
              </w:rPr>
            </w:pPr>
            <w:r>
              <w:rPr>
                <w:rFonts w:hint="eastAsia" w:ascii="楷体" w:hAnsi="楷体" w:eastAsia="楷体"/>
                <w:szCs w:val="21"/>
              </w:rPr>
              <w:t>4500</w:t>
            </w:r>
          </w:p>
        </w:tc>
        <w:tc>
          <w:tcPr>
            <w:tcW w:w="1222" w:type="dxa"/>
            <w:vAlign w:val="center"/>
          </w:tcPr>
          <w:p>
            <w:pPr>
              <w:spacing w:line="420" w:lineRule="exact"/>
              <w:jc w:val="center"/>
              <w:rPr>
                <w:rFonts w:ascii="楷体" w:hAnsi="楷体" w:eastAsia="楷体"/>
                <w:szCs w:val="21"/>
              </w:rPr>
            </w:pPr>
            <w:r>
              <w:rPr>
                <w:rFonts w:hint="eastAsia" w:ascii="楷体" w:hAnsi="楷体" w:eastAsia="楷体"/>
                <w:szCs w:val="21"/>
              </w:rPr>
              <w:t>3300</w:t>
            </w:r>
          </w:p>
        </w:tc>
        <w:tc>
          <w:tcPr>
            <w:tcW w:w="1071" w:type="dxa"/>
            <w:vAlign w:val="center"/>
          </w:tcPr>
          <w:p>
            <w:pPr>
              <w:spacing w:line="420" w:lineRule="exact"/>
              <w:jc w:val="center"/>
              <w:rPr>
                <w:rFonts w:ascii="楷体" w:hAnsi="楷体" w:eastAsia="楷体"/>
                <w:szCs w:val="21"/>
              </w:rPr>
            </w:pPr>
            <w:r>
              <w:rPr>
                <w:rFonts w:hint="eastAsia" w:ascii="楷体" w:hAnsi="楷体" w:eastAsia="楷体"/>
                <w:szCs w:val="21"/>
              </w:rPr>
              <w:t>4800</w:t>
            </w:r>
          </w:p>
        </w:tc>
        <w:tc>
          <w:tcPr>
            <w:tcW w:w="1019" w:type="dxa"/>
            <w:vAlign w:val="center"/>
          </w:tcPr>
          <w:p>
            <w:pPr>
              <w:spacing w:line="420" w:lineRule="exact"/>
              <w:jc w:val="center"/>
              <w:rPr>
                <w:rFonts w:ascii="楷体" w:hAnsi="楷体" w:eastAsia="楷体"/>
                <w:szCs w:val="21"/>
              </w:rPr>
            </w:pPr>
            <w:r>
              <w:rPr>
                <w:rFonts w:hint="eastAsia" w:ascii="楷体" w:hAnsi="楷体" w:eastAsia="楷体"/>
                <w:szCs w:val="21"/>
              </w:rPr>
              <w:t>199.6万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51" w:type="dxa"/>
            <w:vAlign w:val="center"/>
          </w:tcPr>
          <w:p>
            <w:pPr>
              <w:spacing w:line="420" w:lineRule="exact"/>
              <w:jc w:val="center"/>
              <w:rPr>
                <w:rFonts w:ascii="楷体" w:hAnsi="楷体" w:eastAsia="楷体"/>
                <w:szCs w:val="21"/>
              </w:rPr>
            </w:pPr>
            <w:r>
              <w:rPr>
                <w:rFonts w:hint="eastAsia" w:ascii="楷体" w:hAnsi="楷体" w:eastAsia="楷体"/>
                <w:szCs w:val="21"/>
              </w:rPr>
              <w:t>占教师比例</w:t>
            </w:r>
          </w:p>
        </w:tc>
        <w:tc>
          <w:tcPr>
            <w:tcW w:w="1207" w:type="dxa"/>
            <w:vAlign w:val="center"/>
          </w:tcPr>
          <w:p>
            <w:pPr>
              <w:spacing w:line="420" w:lineRule="exact"/>
              <w:jc w:val="center"/>
              <w:rPr>
                <w:rFonts w:ascii="楷体" w:hAnsi="楷体" w:eastAsia="楷体"/>
                <w:szCs w:val="21"/>
              </w:rPr>
            </w:pPr>
            <w:r>
              <w:rPr>
                <w:rFonts w:hint="eastAsia" w:ascii="楷体" w:hAnsi="楷体" w:eastAsia="楷体"/>
                <w:szCs w:val="21"/>
              </w:rPr>
              <w:t>5.84%</w:t>
            </w:r>
          </w:p>
        </w:tc>
        <w:tc>
          <w:tcPr>
            <w:tcW w:w="1222" w:type="dxa"/>
            <w:vAlign w:val="center"/>
          </w:tcPr>
          <w:p>
            <w:pPr>
              <w:spacing w:line="420" w:lineRule="exact"/>
              <w:ind w:firstLine="315" w:firstLineChars="150"/>
              <w:jc w:val="center"/>
              <w:rPr>
                <w:rFonts w:ascii="楷体" w:hAnsi="楷体" w:eastAsia="楷体"/>
                <w:szCs w:val="21"/>
              </w:rPr>
            </w:pPr>
            <w:r>
              <w:rPr>
                <w:rFonts w:hint="eastAsia" w:ascii="楷体" w:hAnsi="楷体" w:eastAsia="楷体"/>
                <w:szCs w:val="21"/>
              </w:rPr>
              <w:t>22.32%</w:t>
            </w:r>
          </w:p>
        </w:tc>
        <w:tc>
          <w:tcPr>
            <w:tcW w:w="1222" w:type="dxa"/>
            <w:vAlign w:val="center"/>
          </w:tcPr>
          <w:p>
            <w:pPr>
              <w:spacing w:line="420" w:lineRule="exact"/>
              <w:jc w:val="center"/>
              <w:rPr>
                <w:rFonts w:ascii="楷体" w:hAnsi="楷体" w:eastAsia="楷体"/>
                <w:szCs w:val="21"/>
              </w:rPr>
            </w:pPr>
            <w:r>
              <w:rPr>
                <w:rFonts w:hint="eastAsia" w:ascii="楷体" w:hAnsi="楷体" w:eastAsia="楷体"/>
                <w:szCs w:val="21"/>
              </w:rPr>
              <w:t>10.52%</w:t>
            </w:r>
          </w:p>
        </w:tc>
        <w:tc>
          <w:tcPr>
            <w:tcW w:w="1222" w:type="dxa"/>
            <w:vAlign w:val="center"/>
          </w:tcPr>
          <w:p>
            <w:pPr>
              <w:spacing w:line="420" w:lineRule="exact"/>
              <w:jc w:val="center"/>
              <w:rPr>
                <w:rFonts w:ascii="楷体" w:hAnsi="楷体" w:eastAsia="楷体"/>
                <w:szCs w:val="21"/>
              </w:rPr>
            </w:pPr>
            <w:r>
              <w:rPr>
                <w:rFonts w:hint="eastAsia" w:ascii="楷体" w:hAnsi="楷体" w:eastAsia="楷体"/>
                <w:szCs w:val="21"/>
              </w:rPr>
              <w:t>14.91%</w:t>
            </w:r>
          </w:p>
        </w:tc>
        <w:tc>
          <w:tcPr>
            <w:tcW w:w="1071" w:type="dxa"/>
            <w:vAlign w:val="center"/>
          </w:tcPr>
          <w:p>
            <w:pPr>
              <w:spacing w:line="420" w:lineRule="exact"/>
              <w:ind w:firstLine="315" w:firstLineChars="150"/>
              <w:rPr>
                <w:rFonts w:ascii="楷体" w:hAnsi="楷体" w:eastAsia="楷体"/>
                <w:szCs w:val="21"/>
              </w:rPr>
            </w:pPr>
            <w:r>
              <w:rPr>
                <w:rFonts w:hint="eastAsia" w:ascii="楷体" w:hAnsi="楷体" w:eastAsia="楷体"/>
                <w:szCs w:val="21"/>
              </w:rPr>
              <w:t>15%</w:t>
            </w:r>
          </w:p>
        </w:tc>
        <w:tc>
          <w:tcPr>
            <w:tcW w:w="1019" w:type="dxa"/>
            <w:vAlign w:val="center"/>
          </w:tcPr>
          <w:p>
            <w:pPr>
              <w:spacing w:line="420" w:lineRule="exact"/>
              <w:jc w:val="center"/>
              <w:rPr>
                <w:rFonts w:ascii="楷体" w:hAnsi="楷体" w:eastAsia="楷体"/>
                <w:szCs w:val="21"/>
              </w:rPr>
            </w:pPr>
            <w:r>
              <w:rPr>
                <w:rFonts w:hint="eastAsia" w:ascii="楷体" w:hAnsi="楷体" w:eastAsia="楷体"/>
                <w:szCs w:val="21"/>
              </w:rPr>
              <w:t>8.06%</w:t>
            </w:r>
          </w:p>
        </w:tc>
      </w:tr>
    </w:tbl>
    <w:p>
      <w:pPr>
        <w:spacing w:line="420" w:lineRule="exact"/>
        <w:ind w:firstLine="525" w:firstLineChars="250"/>
        <w:rPr>
          <w:rFonts w:ascii="楷体" w:hAnsi="楷体" w:eastAsia="楷体"/>
          <w:szCs w:val="21"/>
        </w:rPr>
      </w:pPr>
      <w:r>
        <w:rPr>
          <w:rFonts w:hint="eastAsia" w:ascii="楷体" w:hAnsi="楷体" w:eastAsia="楷体"/>
          <w:szCs w:val="21"/>
        </w:rPr>
        <w:t>注:表中数据源自各学校发布的官方数据，选取专任教师中硕士比例较高的中学。</w:t>
      </w:r>
    </w:p>
    <w:p>
      <w:pPr>
        <w:spacing w:line="420" w:lineRule="exact"/>
        <w:ind w:firstLine="480" w:firstLineChars="200"/>
        <w:rPr>
          <w:sz w:val="24"/>
          <w:szCs w:val="24"/>
        </w:rPr>
      </w:pPr>
      <w:r>
        <w:rPr>
          <w:rFonts w:hint="eastAsia"/>
          <w:sz w:val="24"/>
          <w:szCs w:val="24"/>
        </w:rPr>
        <w:t>从表2可以看出，周口市高中具有硕士学历的专任教师在占比上都远远低于其它地市，与河南省平均水平存有较大差距。据《2016周口市统计公报》，2016年周口市普通高中专任教师15000多人，具有硕士学位教师500余人，占3.33%（河南省8.06%）。《周口市教育人才发展规划纲要（2010—2020年）》提出：“教师队伍学历达标率100%，基本实现高中教师学位化、初中教师本科化、小学教师专科化。”按照周口市目前的教师队伍基数和发展速度，2020年高中阶段教师总数将达到18000人。《河南省教育事业发展“十三五”规划》提出：要构建高中教师本硕一体化分段培养模式。意味着周口市高中阶段专任教师将有大量的人员需要接受硕士学位教育。</w:t>
      </w:r>
    </w:p>
    <w:p>
      <w:pPr>
        <w:spacing w:line="420" w:lineRule="exact"/>
        <w:ind w:firstLine="482" w:firstLineChars="200"/>
        <w:rPr>
          <w:rFonts w:asciiTheme="minorEastAsia" w:hAnsiTheme="minorEastAsia"/>
          <w:sz w:val="24"/>
          <w:szCs w:val="24"/>
        </w:rPr>
      </w:pPr>
      <w:r>
        <w:rPr>
          <w:rFonts w:hint="eastAsia"/>
          <w:b/>
          <w:sz w:val="24"/>
          <w:szCs w:val="24"/>
        </w:rPr>
        <w:t>2. 新增教育硕士专业学位授权点是提升周口市义务教育整体师资水平的需要。</w:t>
      </w:r>
      <w:r>
        <w:rPr>
          <w:rFonts w:hint="eastAsia"/>
          <w:sz w:val="24"/>
          <w:szCs w:val="24"/>
        </w:rPr>
        <w:t>在周口市区域内义务教育的农村中小学普遍存在学历不达标，年龄偏大、知识结构老化，教育教学理念、方法落后、陈旧，学历不高、能力不强等诸多问题。</w:t>
      </w:r>
      <w:r>
        <w:rPr>
          <w:rFonts w:hint="eastAsia" w:asciiTheme="minorEastAsia" w:hAnsiTheme="minorEastAsia"/>
          <w:sz w:val="24"/>
          <w:szCs w:val="24"/>
        </w:rPr>
        <w:t>《河南省教育事业发展“十三五”规划》提出：要完善农村教师补充机制，继续实施农村义务教育学校教师特设岗位计划和农村学校教育硕士师资培养计划,并逐步扩大地方“特岗计划”实施规模。根据规划每个乡镇中心校至少需要4名教育硕士（教育管理1人，学科教学语文、数学、思想政治教育等学科各1人）。</w:t>
      </w:r>
    </w:p>
    <w:p>
      <w:pPr>
        <w:spacing w:line="420" w:lineRule="exact"/>
        <w:ind w:firstLine="525" w:firstLineChars="250"/>
        <w:rPr>
          <w:rFonts w:ascii="楷体" w:hAnsi="楷体" w:eastAsia="楷体"/>
          <w:szCs w:val="21"/>
        </w:rPr>
      </w:pPr>
      <w:r>
        <w:rPr>
          <w:rFonts w:hint="eastAsia" w:ascii="楷体" w:hAnsi="楷体" w:eastAsia="楷体"/>
          <w:szCs w:val="21"/>
        </w:rPr>
        <w:t>表3：2020年周口市乡镇义务教育阶段教育硕士需求统计</w:t>
      </w:r>
    </w:p>
    <w:tbl>
      <w:tblPr>
        <w:tblStyle w:val="10"/>
        <w:tblW w:w="836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6"/>
        <w:gridCol w:w="852"/>
        <w:gridCol w:w="852"/>
        <w:gridCol w:w="852"/>
        <w:gridCol w:w="852"/>
        <w:gridCol w:w="852"/>
        <w:gridCol w:w="852"/>
        <w:gridCol w:w="1052"/>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6" w:type="dxa"/>
            <w:tcBorders>
              <w:tl2br w:val="single" w:color="auto" w:sz="4" w:space="0"/>
            </w:tcBorders>
            <w:vAlign w:val="center"/>
          </w:tcPr>
          <w:p>
            <w:pPr>
              <w:spacing w:line="420" w:lineRule="exact"/>
              <w:jc w:val="center"/>
              <w:rPr>
                <w:rFonts w:ascii="楷体" w:hAnsi="楷体" w:eastAsia="楷体"/>
                <w:szCs w:val="21"/>
              </w:rPr>
            </w:pPr>
            <w:r>
              <w:rPr>
                <w:rFonts w:hint="eastAsia" w:ascii="楷体" w:hAnsi="楷体" w:eastAsia="楷体"/>
                <w:szCs w:val="21"/>
              </w:rPr>
              <w:t xml:space="preserve">   县区</w:t>
            </w:r>
          </w:p>
          <w:p>
            <w:pPr>
              <w:spacing w:line="420" w:lineRule="exact"/>
              <w:rPr>
                <w:rFonts w:ascii="楷体" w:hAnsi="楷体" w:eastAsia="楷体"/>
                <w:szCs w:val="21"/>
              </w:rPr>
            </w:pPr>
            <w:r>
              <w:rPr>
                <w:rFonts w:hint="eastAsia" w:ascii="楷体" w:hAnsi="楷体" w:eastAsia="楷体"/>
                <w:szCs w:val="21"/>
              </w:rPr>
              <w:t>类别</w:t>
            </w:r>
          </w:p>
        </w:tc>
        <w:tc>
          <w:tcPr>
            <w:tcW w:w="852" w:type="dxa"/>
            <w:vAlign w:val="center"/>
          </w:tcPr>
          <w:p>
            <w:pPr>
              <w:spacing w:line="420" w:lineRule="exact"/>
              <w:jc w:val="center"/>
              <w:rPr>
                <w:rFonts w:ascii="楷体" w:hAnsi="楷体" w:eastAsia="楷体"/>
                <w:szCs w:val="21"/>
              </w:rPr>
            </w:pPr>
            <w:r>
              <w:rPr>
                <w:rFonts w:hint="eastAsia" w:ascii="楷体" w:hAnsi="楷体" w:eastAsia="楷体"/>
                <w:szCs w:val="21"/>
              </w:rPr>
              <w:t>商水县</w:t>
            </w:r>
          </w:p>
        </w:tc>
        <w:tc>
          <w:tcPr>
            <w:tcW w:w="852" w:type="dxa"/>
            <w:vAlign w:val="center"/>
          </w:tcPr>
          <w:p>
            <w:pPr>
              <w:spacing w:line="420" w:lineRule="exact"/>
              <w:jc w:val="center"/>
              <w:rPr>
                <w:rFonts w:ascii="楷体" w:hAnsi="楷体" w:eastAsia="楷体"/>
                <w:szCs w:val="21"/>
              </w:rPr>
            </w:pPr>
            <w:r>
              <w:rPr>
                <w:rFonts w:hint="eastAsia" w:ascii="楷体" w:hAnsi="楷体" w:eastAsia="楷体"/>
                <w:szCs w:val="21"/>
              </w:rPr>
              <w:t>西华县</w:t>
            </w:r>
          </w:p>
        </w:tc>
        <w:tc>
          <w:tcPr>
            <w:tcW w:w="852" w:type="dxa"/>
            <w:vAlign w:val="center"/>
          </w:tcPr>
          <w:p>
            <w:pPr>
              <w:spacing w:line="420" w:lineRule="exact"/>
              <w:jc w:val="center"/>
              <w:rPr>
                <w:rFonts w:ascii="楷体" w:hAnsi="楷体" w:eastAsia="楷体"/>
                <w:szCs w:val="21"/>
              </w:rPr>
            </w:pPr>
            <w:r>
              <w:rPr>
                <w:rFonts w:hint="eastAsia" w:ascii="楷体" w:hAnsi="楷体" w:eastAsia="楷体"/>
                <w:szCs w:val="21"/>
              </w:rPr>
              <w:t>沈丘县</w:t>
            </w:r>
          </w:p>
        </w:tc>
        <w:tc>
          <w:tcPr>
            <w:tcW w:w="852" w:type="dxa"/>
            <w:vAlign w:val="center"/>
          </w:tcPr>
          <w:p>
            <w:pPr>
              <w:spacing w:line="420" w:lineRule="exact"/>
              <w:jc w:val="center"/>
              <w:rPr>
                <w:rFonts w:ascii="楷体" w:hAnsi="楷体" w:eastAsia="楷体"/>
                <w:szCs w:val="21"/>
              </w:rPr>
            </w:pPr>
            <w:r>
              <w:rPr>
                <w:rFonts w:hint="eastAsia" w:ascii="楷体" w:hAnsi="楷体" w:eastAsia="楷体"/>
                <w:szCs w:val="21"/>
              </w:rPr>
              <w:t>项城市</w:t>
            </w:r>
          </w:p>
        </w:tc>
        <w:tc>
          <w:tcPr>
            <w:tcW w:w="852" w:type="dxa"/>
            <w:vAlign w:val="center"/>
          </w:tcPr>
          <w:p>
            <w:pPr>
              <w:spacing w:line="420" w:lineRule="exact"/>
              <w:jc w:val="center"/>
              <w:rPr>
                <w:rFonts w:ascii="楷体" w:hAnsi="楷体" w:eastAsia="楷体"/>
                <w:szCs w:val="21"/>
              </w:rPr>
            </w:pPr>
            <w:r>
              <w:rPr>
                <w:rFonts w:hint="eastAsia" w:ascii="楷体" w:hAnsi="楷体" w:eastAsia="楷体"/>
                <w:szCs w:val="21"/>
              </w:rPr>
              <w:t>鹿邑县</w:t>
            </w:r>
          </w:p>
        </w:tc>
        <w:tc>
          <w:tcPr>
            <w:tcW w:w="852" w:type="dxa"/>
            <w:vAlign w:val="center"/>
          </w:tcPr>
          <w:p>
            <w:pPr>
              <w:spacing w:line="420" w:lineRule="exact"/>
              <w:jc w:val="center"/>
              <w:rPr>
                <w:rFonts w:ascii="楷体" w:hAnsi="楷体" w:eastAsia="楷体"/>
                <w:szCs w:val="21"/>
              </w:rPr>
            </w:pPr>
            <w:r>
              <w:rPr>
                <w:rFonts w:hint="eastAsia" w:ascii="楷体" w:hAnsi="楷体" w:eastAsia="楷体"/>
                <w:szCs w:val="21"/>
              </w:rPr>
              <w:t>郸城县</w:t>
            </w:r>
          </w:p>
        </w:tc>
        <w:tc>
          <w:tcPr>
            <w:tcW w:w="1052" w:type="dxa"/>
            <w:vAlign w:val="center"/>
          </w:tcPr>
          <w:p>
            <w:pPr>
              <w:spacing w:line="420" w:lineRule="exact"/>
              <w:jc w:val="center"/>
              <w:rPr>
                <w:rFonts w:ascii="楷体" w:hAnsi="楷体" w:eastAsia="楷体"/>
                <w:szCs w:val="21"/>
              </w:rPr>
            </w:pPr>
            <w:r>
              <w:rPr>
                <w:rFonts w:hint="eastAsia" w:ascii="楷体" w:hAnsi="楷体" w:eastAsia="楷体"/>
                <w:szCs w:val="21"/>
              </w:rPr>
              <w:t>太康县</w:t>
            </w:r>
          </w:p>
        </w:tc>
        <w:tc>
          <w:tcPr>
            <w:tcW w:w="1134" w:type="dxa"/>
            <w:vAlign w:val="center"/>
          </w:tcPr>
          <w:p>
            <w:pPr>
              <w:spacing w:line="420" w:lineRule="exact"/>
              <w:jc w:val="center"/>
              <w:rPr>
                <w:rFonts w:ascii="楷体" w:hAnsi="楷体" w:eastAsia="楷体"/>
                <w:szCs w:val="21"/>
              </w:rPr>
            </w:pPr>
            <w:r>
              <w:rPr>
                <w:rFonts w:hint="eastAsia" w:ascii="楷体" w:hAnsi="楷体" w:eastAsia="楷体"/>
                <w:szCs w:val="21"/>
              </w:rPr>
              <w:t>淮阳县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6" w:type="dxa"/>
            <w:vAlign w:val="center"/>
          </w:tcPr>
          <w:p>
            <w:pPr>
              <w:spacing w:line="220" w:lineRule="exact"/>
              <w:jc w:val="center"/>
              <w:rPr>
                <w:rFonts w:ascii="楷体" w:hAnsi="楷体" w:eastAsia="楷体"/>
                <w:szCs w:val="21"/>
              </w:rPr>
            </w:pPr>
            <w:r>
              <w:rPr>
                <w:rFonts w:hint="eastAsia" w:ascii="楷体" w:hAnsi="楷体" w:eastAsia="楷体"/>
                <w:szCs w:val="21"/>
              </w:rPr>
              <w:t>中心</w:t>
            </w:r>
          </w:p>
          <w:p>
            <w:pPr>
              <w:spacing w:line="220" w:lineRule="exact"/>
              <w:jc w:val="center"/>
              <w:rPr>
                <w:rFonts w:ascii="楷体" w:hAnsi="楷体" w:eastAsia="楷体"/>
                <w:szCs w:val="21"/>
              </w:rPr>
            </w:pPr>
            <w:r>
              <w:rPr>
                <w:rFonts w:hint="eastAsia" w:ascii="楷体" w:hAnsi="楷体" w:eastAsia="楷体"/>
                <w:szCs w:val="21"/>
              </w:rPr>
              <w:t>校数</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21</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19</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23</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16</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21</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20</w:t>
            </w:r>
          </w:p>
        </w:tc>
        <w:tc>
          <w:tcPr>
            <w:tcW w:w="1052" w:type="dxa"/>
            <w:vAlign w:val="center"/>
          </w:tcPr>
          <w:p>
            <w:pPr>
              <w:spacing w:line="220" w:lineRule="exact"/>
              <w:jc w:val="center"/>
              <w:rPr>
                <w:rFonts w:ascii="楷体" w:hAnsi="楷体" w:eastAsia="楷体"/>
                <w:szCs w:val="21"/>
              </w:rPr>
            </w:pPr>
            <w:r>
              <w:rPr>
                <w:rFonts w:hint="eastAsia" w:ascii="楷体" w:hAnsi="楷体" w:eastAsia="楷体"/>
                <w:szCs w:val="21"/>
              </w:rPr>
              <w:t>24</w:t>
            </w:r>
          </w:p>
        </w:tc>
        <w:tc>
          <w:tcPr>
            <w:tcW w:w="1134" w:type="dxa"/>
            <w:vAlign w:val="center"/>
          </w:tcPr>
          <w:p>
            <w:pPr>
              <w:spacing w:line="220" w:lineRule="exact"/>
              <w:jc w:val="center"/>
              <w:rPr>
                <w:rFonts w:ascii="楷体" w:hAnsi="楷体" w:eastAsia="楷体"/>
                <w:szCs w:val="21"/>
              </w:rPr>
            </w:pPr>
            <w:r>
              <w:rPr>
                <w:rFonts w:hint="eastAsia" w:ascii="楷体" w:hAnsi="楷体" w:eastAsia="楷体"/>
                <w:szCs w:val="21"/>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6" w:type="dxa"/>
            <w:vAlign w:val="center"/>
          </w:tcPr>
          <w:p>
            <w:pPr>
              <w:spacing w:line="220" w:lineRule="exact"/>
              <w:jc w:val="center"/>
              <w:rPr>
                <w:rFonts w:ascii="楷体" w:hAnsi="楷体" w:eastAsia="楷体"/>
                <w:szCs w:val="21"/>
              </w:rPr>
            </w:pPr>
            <w:r>
              <w:rPr>
                <w:rFonts w:hint="eastAsia" w:ascii="楷体" w:hAnsi="楷体" w:eastAsia="楷体"/>
                <w:szCs w:val="21"/>
              </w:rPr>
              <w:t>需要</w:t>
            </w:r>
          </w:p>
          <w:p>
            <w:pPr>
              <w:spacing w:line="220" w:lineRule="exact"/>
              <w:jc w:val="center"/>
              <w:rPr>
                <w:rFonts w:ascii="楷体" w:hAnsi="楷体" w:eastAsia="楷体"/>
                <w:szCs w:val="21"/>
              </w:rPr>
            </w:pPr>
            <w:r>
              <w:rPr>
                <w:rFonts w:hint="eastAsia" w:ascii="楷体" w:hAnsi="楷体" w:eastAsia="楷体"/>
                <w:szCs w:val="21"/>
              </w:rPr>
              <w:t>数量</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84</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76</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92</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64</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84</w:t>
            </w:r>
          </w:p>
        </w:tc>
        <w:tc>
          <w:tcPr>
            <w:tcW w:w="852" w:type="dxa"/>
            <w:vAlign w:val="center"/>
          </w:tcPr>
          <w:p>
            <w:pPr>
              <w:spacing w:line="220" w:lineRule="exact"/>
              <w:jc w:val="center"/>
              <w:rPr>
                <w:rFonts w:ascii="楷体" w:hAnsi="楷体" w:eastAsia="楷体"/>
                <w:szCs w:val="21"/>
              </w:rPr>
            </w:pPr>
            <w:r>
              <w:rPr>
                <w:rFonts w:hint="eastAsia" w:ascii="楷体" w:hAnsi="楷体" w:eastAsia="楷体"/>
                <w:szCs w:val="21"/>
              </w:rPr>
              <w:t>80</w:t>
            </w:r>
          </w:p>
        </w:tc>
        <w:tc>
          <w:tcPr>
            <w:tcW w:w="1052" w:type="dxa"/>
            <w:vAlign w:val="center"/>
          </w:tcPr>
          <w:p>
            <w:pPr>
              <w:spacing w:line="220" w:lineRule="exact"/>
              <w:jc w:val="center"/>
              <w:rPr>
                <w:rFonts w:ascii="楷体" w:hAnsi="楷体" w:eastAsia="楷体"/>
                <w:szCs w:val="21"/>
              </w:rPr>
            </w:pPr>
            <w:r>
              <w:rPr>
                <w:rFonts w:hint="eastAsia" w:ascii="楷体" w:hAnsi="楷体" w:eastAsia="楷体"/>
                <w:szCs w:val="21"/>
              </w:rPr>
              <w:t>96</w:t>
            </w:r>
          </w:p>
        </w:tc>
        <w:tc>
          <w:tcPr>
            <w:tcW w:w="1134" w:type="dxa"/>
            <w:tcBorders>
              <w:right w:val="single" w:color="auto" w:sz="4" w:space="0"/>
            </w:tcBorders>
            <w:vAlign w:val="center"/>
          </w:tcPr>
          <w:p>
            <w:pPr>
              <w:spacing w:line="220" w:lineRule="exact"/>
              <w:jc w:val="center"/>
              <w:rPr>
                <w:rFonts w:ascii="楷体" w:hAnsi="楷体" w:eastAsia="楷体"/>
                <w:szCs w:val="21"/>
              </w:rPr>
            </w:pPr>
            <w:r>
              <w:rPr>
                <w:rFonts w:hint="eastAsia" w:ascii="楷体" w:hAnsi="楷体" w:eastAsia="楷体"/>
                <w:szCs w:val="21"/>
              </w:rPr>
              <w:t>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6" w:type="dxa"/>
            <w:vAlign w:val="center"/>
          </w:tcPr>
          <w:p>
            <w:pPr>
              <w:spacing w:line="420" w:lineRule="exact"/>
              <w:jc w:val="center"/>
              <w:rPr>
                <w:rFonts w:ascii="楷体" w:hAnsi="楷体" w:eastAsia="楷体"/>
                <w:szCs w:val="21"/>
              </w:rPr>
            </w:pPr>
            <w:r>
              <w:rPr>
                <w:rFonts w:hint="eastAsia" w:ascii="楷体" w:hAnsi="楷体" w:eastAsia="楷体"/>
                <w:szCs w:val="21"/>
              </w:rPr>
              <w:t>合计</w:t>
            </w:r>
          </w:p>
        </w:tc>
        <w:tc>
          <w:tcPr>
            <w:tcW w:w="7298" w:type="dxa"/>
            <w:gridSpan w:val="8"/>
            <w:tcBorders>
              <w:top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楷体" w:hAnsi="楷体" w:eastAsia="楷体"/>
                <w:szCs w:val="21"/>
              </w:rPr>
            </w:pPr>
            <w:r>
              <w:rPr>
                <w:rFonts w:hint="eastAsia" w:ascii="楷体" w:hAnsi="楷体" w:eastAsia="楷体"/>
                <w:szCs w:val="21"/>
              </w:rPr>
              <w:t>660人</w:t>
            </w:r>
          </w:p>
        </w:tc>
      </w:tr>
    </w:tbl>
    <w:p>
      <w:pPr>
        <w:spacing w:line="420" w:lineRule="exact"/>
        <w:ind w:firstLine="360" w:firstLineChars="150"/>
        <w:rPr>
          <w:rFonts w:asciiTheme="minorEastAsia" w:hAnsiTheme="minorEastAsia"/>
          <w:sz w:val="24"/>
          <w:szCs w:val="24"/>
        </w:rPr>
      </w:pPr>
      <w:r>
        <w:rPr>
          <w:rFonts w:hint="eastAsia" w:asciiTheme="minorEastAsia" w:hAnsiTheme="minorEastAsia"/>
          <w:sz w:val="24"/>
          <w:szCs w:val="24"/>
        </w:rPr>
        <w:t>根据表5到2020周口市乡镇义务教育阶段教育硕士需求量660人左右，周口市城区义务教育阶段教育硕士需求大概在200人左右，共860人。此外，根据调查,乡镇义务教育阶段教师八成以上希望在本地接受学历教育。</w:t>
      </w:r>
    </w:p>
    <w:p>
      <w:pPr>
        <w:spacing w:line="420" w:lineRule="exact"/>
        <w:ind w:firstLine="361" w:firstLineChars="150"/>
        <w:rPr>
          <w:rFonts w:asciiTheme="minorEastAsia" w:hAnsiTheme="minorEastAsia"/>
          <w:sz w:val="24"/>
          <w:szCs w:val="24"/>
        </w:rPr>
      </w:pPr>
      <w:r>
        <w:rPr>
          <w:rFonts w:hint="eastAsia" w:asciiTheme="minorEastAsia" w:hAnsiTheme="minorEastAsia"/>
          <w:b/>
          <w:sz w:val="24"/>
          <w:szCs w:val="24"/>
        </w:rPr>
        <w:t>3.</w:t>
      </w:r>
      <w:r>
        <w:rPr>
          <w:rFonts w:hint="eastAsia"/>
        </w:rPr>
        <w:t xml:space="preserve"> </w:t>
      </w:r>
      <w:r>
        <w:rPr>
          <w:rFonts w:hint="eastAsia" w:asciiTheme="minorEastAsia" w:hAnsiTheme="minorEastAsia"/>
          <w:b/>
          <w:sz w:val="24"/>
          <w:szCs w:val="24"/>
        </w:rPr>
        <w:t>新增教育硕士专业学位授权点是满足周口师范学院及周边地区本科生继续深造的需要。</w:t>
      </w:r>
      <w:r>
        <w:rPr>
          <w:rFonts w:hint="eastAsia" w:asciiTheme="minorEastAsia" w:hAnsiTheme="minorEastAsia"/>
          <w:sz w:val="24"/>
          <w:szCs w:val="24"/>
        </w:rPr>
        <w:t>随着就业准入门槛与整体师资水平的提高，一线教师、教育管理人员以及高校毕业生会寻求进一步深造。据调查，周口师范学院及周边高校每年师范专业毕业生6000余人。伴随着国家研究生教育学术硕士与专业硕士比例等政策的调整，又将促使他们把攻读专业硕士学位作为首选。近年，我校教师教育专业考研情况正发生变化：学术型硕士考研率略微下降，专业型硕士考研率稍微提升，见表4。</w:t>
      </w:r>
    </w:p>
    <w:p>
      <w:pPr>
        <w:spacing w:line="420" w:lineRule="exact"/>
        <w:ind w:firstLine="525" w:firstLineChars="250"/>
        <w:rPr>
          <w:rFonts w:ascii="楷体" w:hAnsi="楷体" w:eastAsia="楷体"/>
          <w:szCs w:val="21"/>
        </w:rPr>
      </w:pPr>
      <w:r>
        <w:rPr>
          <w:rFonts w:hint="eastAsia" w:ascii="楷体" w:hAnsi="楷体" w:eastAsia="楷体"/>
          <w:szCs w:val="21"/>
        </w:rPr>
        <w:t>表4：周口师范学院汉语言文学</w:t>
      </w:r>
      <w:r>
        <w:rPr>
          <w:rFonts w:hint="eastAsia" w:ascii="楷体" w:hAnsi="楷体" w:eastAsia="楷体"/>
          <w:szCs w:val="21"/>
          <w:lang w:eastAsia="zh-CN"/>
        </w:rPr>
        <w:t>专业</w:t>
      </w:r>
      <w:r>
        <w:rPr>
          <w:rFonts w:hint="eastAsia" w:ascii="楷体" w:hAnsi="楷体" w:eastAsia="楷体"/>
          <w:szCs w:val="21"/>
        </w:rPr>
        <w:t xml:space="preserve">与汉语国际教育专业考研率统计 </w:t>
      </w:r>
    </w:p>
    <w:tbl>
      <w:tblPr>
        <w:tblStyle w:val="10"/>
        <w:tblW w:w="822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6"/>
        <w:gridCol w:w="1806"/>
        <w:gridCol w:w="1602"/>
        <w:gridCol w:w="1705"/>
        <w:gridCol w:w="1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6" w:type="dxa"/>
            <w:tcBorders>
              <w:tl2br w:val="single" w:color="auto" w:sz="4" w:space="0"/>
            </w:tcBorders>
          </w:tcPr>
          <w:p>
            <w:pPr>
              <w:spacing w:line="420" w:lineRule="exact"/>
              <w:ind w:left="1155" w:hanging="1155" w:hangingChars="550"/>
              <w:rPr>
                <w:rFonts w:ascii="楷体" w:hAnsi="楷体" w:eastAsia="楷体"/>
                <w:szCs w:val="21"/>
              </w:rPr>
            </w:pPr>
            <w:r>
              <w:rPr>
                <w:rFonts w:hint="eastAsia" w:ascii="楷体" w:hAnsi="楷体" w:eastAsia="楷体"/>
                <w:szCs w:val="21"/>
              </w:rPr>
              <w:t xml:space="preserve">         年份</w:t>
            </w:r>
          </w:p>
          <w:p>
            <w:pPr>
              <w:spacing w:line="420" w:lineRule="exact"/>
              <w:rPr>
                <w:rFonts w:ascii="楷体" w:hAnsi="楷体" w:eastAsia="楷体"/>
                <w:szCs w:val="21"/>
              </w:rPr>
            </w:pPr>
            <w:r>
              <w:rPr>
                <w:rFonts w:hint="eastAsia" w:ascii="楷体" w:hAnsi="楷体" w:eastAsia="楷体"/>
                <w:szCs w:val="21"/>
              </w:rPr>
              <w:t>专业</w:t>
            </w:r>
          </w:p>
        </w:tc>
        <w:tc>
          <w:tcPr>
            <w:tcW w:w="1806" w:type="dxa"/>
            <w:vAlign w:val="center"/>
          </w:tcPr>
          <w:p>
            <w:pPr>
              <w:spacing w:line="420" w:lineRule="exact"/>
              <w:jc w:val="center"/>
              <w:rPr>
                <w:rFonts w:ascii="楷体" w:hAnsi="楷体" w:eastAsia="楷体"/>
                <w:szCs w:val="21"/>
              </w:rPr>
            </w:pPr>
            <w:r>
              <w:rPr>
                <w:rFonts w:hint="eastAsia" w:ascii="楷体" w:hAnsi="楷体" w:eastAsia="楷体"/>
                <w:szCs w:val="21"/>
              </w:rPr>
              <w:t>2014</w:t>
            </w:r>
          </w:p>
        </w:tc>
        <w:tc>
          <w:tcPr>
            <w:tcW w:w="1602" w:type="dxa"/>
            <w:vAlign w:val="center"/>
          </w:tcPr>
          <w:p>
            <w:pPr>
              <w:spacing w:line="420" w:lineRule="exact"/>
              <w:jc w:val="center"/>
              <w:rPr>
                <w:rFonts w:ascii="楷体" w:hAnsi="楷体" w:eastAsia="楷体"/>
                <w:szCs w:val="21"/>
              </w:rPr>
            </w:pPr>
            <w:r>
              <w:rPr>
                <w:rFonts w:hint="eastAsia" w:ascii="楷体" w:hAnsi="楷体" w:eastAsia="楷体"/>
                <w:szCs w:val="21"/>
              </w:rPr>
              <w:t>2015</w:t>
            </w:r>
          </w:p>
        </w:tc>
        <w:tc>
          <w:tcPr>
            <w:tcW w:w="1705" w:type="dxa"/>
            <w:vAlign w:val="center"/>
          </w:tcPr>
          <w:p>
            <w:pPr>
              <w:spacing w:line="420" w:lineRule="exact"/>
              <w:jc w:val="center"/>
              <w:rPr>
                <w:rFonts w:ascii="楷体" w:hAnsi="楷体" w:eastAsia="楷体"/>
                <w:szCs w:val="21"/>
              </w:rPr>
            </w:pPr>
            <w:r>
              <w:rPr>
                <w:rFonts w:hint="eastAsia" w:ascii="楷体" w:hAnsi="楷体" w:eastAsia="楷体"/>
                <w:szCs w:val="21"/>
              </w:rPr>
              <w:t>2016</w:t>
            </w:r>
          </w:p>
        </w:tc>
        <w:tc>
          <w:tcPr>
            <w:tcW w:w="1513" w:type="dxa"/>
            <w:vAlign w:val="center"/>
          </w:tcPr>
          <w:p>
            <w:pPr>
              <w:spacing w:line="420" w:lineRule="exact"/>
              <w:jc w:val="center"/>
              <w:rPr>
                <w:rFonts w:ascii="楷体" w:hAnsi="楷体" w:eastAsia="楷体"/>
                <w:szCs w:val="21"/>
              </w:rPr>
            </w:pPr>
            <w:r>
              <w:rPr>
                <w:rFonts w:hint="eastAsia" w:ascii="楷体" w:hAnsi="楷体" w:eastAsia="楷体"/>
                <w:szCs w:val="21"/>
              </w:rPr>
              <w:t>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6" w:type="dxa"/>
          </w:tcPr>
          <w:p>
            <w:pPr>
              <w:spacing w:line="420" w:lineRule="exact"/>
              <w:rPr>
                <w:rFonts w:ascii="楷体" w:hAnsi="楷体" w:eastAsia="楷体"/>
                <w:szCs w:val="21"/>
              </w:rPr>
            </w:pPr>
            <w:r>
              <w:rPr>
                <w:rFonts w:hint="eastAsia" w:ascii="楷体" w:hAnsi="楷体" w:eastAsia="楷体"/>
                <w:szCs w:val="21"/>
              </w:rPr>
              <w:t>汉语言文学</w:t>
            </w:r>
          </w:p>
        </w:tc>
        <w:tc>
          <w:tcPr>
            <w:tcW w:w="1806" w:type="dxa"/>
            <w:vAlign w:val="center"/>
          </w:tcPr>
          <w:p>
            <w:pPr>
              <w:spacing w:line="420" w:lineRule="exact"/>
              <w:jc w:val="center"/>
              <w:rPr>
                <w:rFonts w:ascii="楷体" w:hAnsi="楷体" w:eastAsia="楷体"/>
                <w:szCs w:val="21"/>
              </w:rPr>
            </w:pPr>
            <w:r>
              <w:rPr>
                <w:rFonts w:hint="eastAsia" w:ascii="楷体" w:hAnsi="楷体" w:eastAsia="楷体"/>
                <w:szCs w:val="21"/>
              </w:rPr>
              <w:t>13.57%</w:t>
            </w:r>
          </w:p>
        </w:tc>
        <w:tc>
          <w:tcPr>
            <w:tcW w:w="1602" w:type="dxa"/>
            <w:vAlign w:val="center"/>
          </w:tcPr>
          <w:p>
            <w:pPr>
              <w:spacing w:line="420" w:lineRule="exact"/>
              <w:jc w:val="center"/>
              <w:rPr>
                <w:rFonts w:ascii="楷体" w:hAnsi="楷体" w:eastAsia="楷体"/>
                <w:szCs w:val="21"/>
              </w:rPr>
            </w:pPr>
            <w:r>
              <w:rPr>
                <w:rFonts w:hint="eastAsia" w:ascii="楷体" w:hAnsi="楷体" w:eastAsia="楷体"/>
                <w:szCs w:val="21"/>
              </w:rPr>
              <w:t>10%</w:t>
            </w:r>
          </w:p>
        </w:tc>
        <w:tc>
          <w:tcPr>
            <w:tcW w:w="1705" w:type="dxa"/>
            <w:vAlign w:val="center"/>
          </w:tcPr>
          <w:p>
            <w:pPr>
              <w:spacing w:line="420" w:lineRule="exact"/>
              <w:jc w:val="center"/>
              <w:rPr>
                <w:rFonts w:ascii="楷体" w:hAnsi="楷体" w:eastAsia="楷体"/>
                <w:szCs w:val="21"/>
              </w:rPr>
            </w:pPr>
            <w:r>
              <w:rPr>
                <w:rFonts w:hint="eastAsia" w:ascii="楷体" w:hAnsi="楷体" w:eastAsia="楷体"/>
                <w:szCs w:val="21"/>
              </w:rPr>
              <w:t>9.9%</w:t>
            </w:r>
          </w:p>
        </w:tc>
        <w:tc>
          <w:tcPr>
            <w:tcW w:w="1513" w:type="dxa"/>
            <w:vAlign w:val="center"/>
          </w:tcPr>
          <w:p>
            <w:pPr>
              <w:spacing w:line="420" w:lineRule="exact"/>
              <w:jc w:val="center"/>
              <w:rPr>
                <w:rFonts w:ascii="楷体" w:hAnsi="楷体" w:eastAsia="楷体"/>
                <w:szCs w:val="21"/>
              </w:rPr>
            </w:pPr>
            <w:r>
              <w:rPr>
                <w:rFonts w:hint="eastAsia" w:ascii="楷体" w:hAnsi="楷体" w:eastAsia="楷体"/>
                <w:szCs w:val="21"/>
              </w:rPr>
              <w:t>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6" w:type="dxa"/>
          </w:tcPr>
          <w:p>
            <w:pPr>
              <w:spacing w:line="420" w:lineRule="exact"/>
              <w:rPr>
                <w:rFonts w:ascii="楷体" w:hAnsi="楷体" w:eastAsia="楷体"/>
                <w:szCs w:val="21"/>
              </w:rPr>
            </w:pPr>
            <w:r>
              <w:rPr>
                <w:rFonts w:hint="eastAsia" w:ascii="楷体" w:hAnsi="楷体" w:eastAsia="楷体"/>
                <w:szCs w:val="21"/>
              </w:rPr>
              <w:t>汉语国际教育</w:t>
            </w:r>
          </w:p>
        </w:tc>
        <w:tc>
          <w:tcPr>
            <w:tcW w:w="1806" w:type="dxa"/>
            <w:vAlign w:val="center"/>
          </w:tcPr>
          <w:p>
            <w:pPr>
              <w:spacing w:line="420" w:lineRule="exact"/>
              <w:jc w:val="center"/>
              <w:rPr>
                <w:rFonts w:ascii="楷体" w:hAnsi="楷体" w:eastAsia="楷体"/>
                <w:szCs w:val="21"/>
              </w:rPr>
            </w:pPr>
            <w:r>
              <w:rPr>
                <w:rFonts w:hint="eastAsia" w:ascii="楷体" w:hAnsi="楷体" w:eastAsia="楷体"/>
                <w:szCs w:val="21"/>
              </w:rPr>
              <w:t>17.9%</w:t>
            </w:r>
          </w:p>
        </w:tc>
        <w:tc>
          <w:tcPr>
            <w:tcW w:w="1602" w:type="dxa"/>
            <w:vAlign w:val="center"/>
          </w:tcPr>
          <w:p>
            <w:pPr>
              <w:spacing w:line="420" w:lineRule="exact"/>
              <w:jc w:val="center"/>
              <w:rPr>
                <w:rFonts w:ascii="楷体" w:hAnsi="楷体" w:eastAsia="楷体"/>
                <w:szCs w:val="21"/>
              </w:rPr>
            </w:pPr>
            <w:r>
              <w:rPr>
                <w:rFonts w:hint="eastAsia" w:ascii="楷体" w:hAnsi="楷体" w:eastAsia="楷体"/>
                <w:szCs w:val="21"/>
              </w:rPr>
              <w:t>18.5%</w:t>
            </w:r>
          </w:p>
        </w:tc>
        <w:tc>
          <w:tcPr>
            <w:tcW w:w="1705" w:type="dxa"/>
            <w:vAlign w:val="center"/>
          </w:tcPr>
          <w:p>
            <w:pPr>
              <w:spacing w:line="420" w:lineRule="exact"/>
              <w:jc w:val="center"/>
              <w:rPr>
                <w:rFonts w:ascii="楷体" w:hAnsi="楷体" w:eastAsia="楷体"/>
                <w:szCs w:val="21"/>
              </w:rPr>
            </w:pPr>
            <w:r>
              <w:rPr>
                <w:rFonts w:hint="eastAsia" w:ascii="楷体" w:hAnsi="楷体" w:eastAsia="楷体"/>
                <w:szCs w:val="21"/>
              </w:rPr>
              <w:t>20.4%</w:t>
            </w:r>
          </w:p>
        </w:tc>
        <w:tc>
          <w:tcPr>
            <w:tcW w:w="1513" w:type="dxa"/>
            <w:vAlign w:val="center"/>
          </w:tcPr>
          <w:p>
            <w:pPr>
              <w:spacing w:line="420" w:lineRule="exact"/>
              <w:jc w:val="center"/>
              <w:rPr>
                <w:rFonts w:ascii="楷体" w:hAnsi="楷体" w:eastAsia="楷体"/>
                <w:szCs w:val="21"/>
              </w:rPr>
            </w:pPr>
            <w:r>
              <w:rPr>
                <w:rFonts w:hint="eastAsia" w:ascii="楷体" w:hAnsi="楷体" w:eastAsia="楷体"/>
                <w:szCs w:val="21"/>
              </w:rPr>
              <w:t>22.5%</w:t>
            </w:r>
          </w:p>
        </w:tc>
      </w:tr>
    </w:tbl>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从表4可以看出：学术硕士研究生录取率明显低于专业硕士研究生入学率。学术硕士录取率呈下降趋势，说明学术硕士的考研难度逐年增大，同时也表明教师教育专业学生对考研选择更加理性。《河南省教育事业发展“十三五”规划》提出：要构建高中教师本硕一体化分段培养模式。以此，周口师范学院增设教育硕士授权点对实现本硕一体化分段培养模式、缓解教师教育专业毕业生考硕压力将起到积极的推动作用。</w:t>
      </w:r>
    </w:p>
    <w:p>
      <w:pPr>
        <w:spacing w:line="500" w:lineRule="exact"/>
        <w:ind w:firstLine="472" w:firstLineChars="196"/>
        <w:rPr>
          <w:rFonts w:ascii="仿宋" w:hAnsi="仿宋" w:eastAsia="仿宋"/>
          <w:b/>
          <w:sz w:val="24"/>
          <w:szCs w:val="24"/>
        </w:rPr>
      </w:pPr>
      <w:r>
        <w:rPr>
          <w:rFonts w:hint="eastAsia" w:ascii="仿宋" w:hAnsi="仿宋" w:eastAsia="仿宋"/>
          <w:b/>
          <w:sz w:val="24"/>
          <w:szCs w:val="24"/>
        </w:rPr>
        <w:t>三、</w:t>
      </w:r>
      <w:r>
        <w:rPr>
          <w:rFonts w:hint="eastAsia" w:asciiTheme="minorEastAsia" w:hAnsiTheme="minorEastAsia"/>
          <w:b/>
          <w:sz w:val="24"/>
          <w:szCs w:val="24"/>
        </w:rPr>
        <w:t>新增教育硕士专业学位授权点是</w:t>
      </w:r>
      <w:r>
        <w:rPr>
          <w:rFonts w:hint="eastAsia" w:ascii="仿宋" w:hAnsi="仿宋" w:eastAsia="仿宋"/>
          <w:b/>
          <w:sz w:val="24"/>
          <w:szCs w:val="24"/>
        </w:rPr>
        <w:t>实现河南省高等教育资源分布均衡的需要、是促进周口师范学院教育学科发展的需要</w:t>
      </w:r>
    </w:p>
    <w:p>
      <w:pPr>
        <w:spacing w:line="420" w:lineRule="exact"/>
        <w:ind w:firstLine="602" w:firstLineChars="250"/>
        <w:rPr>
          <w:sz w:val="24"/>
          <w:szCs w:val="24"/>
        </w:rPr>
      </w:pPr>
      <w:r>
        <w:rPr>
          <w:rFonts w:hint="eastAsia"/>
          <w:b/>
          <w:sz w:val="24"/>
          <w:szCs w:val="24"/>
        </w:rPr>
        <w:t>1.河南省教育硕士培养单位区域分布不均衡。</w:t>
      </w:r>
      <w:r>
        <w:rPr>
          <w:rFonts w:hint="eastAsia"/>
          <w:sz w:val="24"/>
          <w:szCs w:val="24"/>
        </w:rPr>
        <w:t>河南省有郑州大学、河南大学、河南师范大学、信阳师范学院、河南科技学院、洛阳师范学院6所高校具有</w:t>
      </w:r>
      <w:bookmarkStart w:id="0" w:name="_GoBack"/>
      <w:bookmarkEnd w:id="0"/>
      <w:r>
        <w:rPr>
          <w:rFonts w:hint="eastAsia"/>
          <w:sz w:val="24"/>
          <w:szCs w:val="24"/>
        </w:rPr>
        <w:t>教育硕士培养资格，且区域分布不平衡，见表5。</w:t>
      </w:r>
    </w:p>
    <w:p>
      <w:pPr>
        <w:spacing w:line="420" w:lineRule="exact"/>
        <w:ind w:firstLine="525" w:firstLineChars="250"/>
        <w:rPr>
          <w:rFonts w:ascii="楷体" w:hAnsi="楷体" w:eastAsia="楷体"/>
          <w:szCs w:val="21"/>
        </w:rPr>
      </w:pPr>
      <w:r>
        <w:rPr>
          <w:rFonts w:hint="eastAsia" w:ascii="楷体" w:hAnsi="楷体" w:eastAsia="楷体"/>
          <w:szCs w:val="21"/>
        </w:rPr>
        <w:t>表5：河南省具备教育硕士培养资格高校区域分布统计表</w:t>
      </w:r>
    </w:p>
    <w:tbl>
      <w:tblPr>
        <w:tblStyle w:val="10"/>
        <w:tblW w:w="822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9"/>
        <w:gridCol w:w="992"/>
        <w:gridCol w:w="992"/>
        <w:gridCol w:w="993"/>
        <w:gridCol w:w="1134"/>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7" w:hRule="atLeast"/>
        </w:trPr>
        <w:tc>
          <w:tcPr>
            <w:tcW w:w="3119" w:type="dxa"/>
            <w:tcBorders>
              <w:tl2br w:val="single" w:color="auto" w:sz="4" w:space="0"/>
            </w:tcBorders>
          </w:tcPr>
          <w:p>
            <w:pPr>
              <w:spacing w:line="420" w:lineRule="exact"/>
              <w:ind w:left="2415" w:hanging="2415" w:hangingChars="1150"/>
              <w:rPr>
                <w:rFonts w:ascii="楷体" w:hAnsi="楷体" w:eastAsia="楷体"/>
                <w:szCs w:val="21"/>
              </w:rPr>
            </w:pPr>
            <w:r>
              <w:rPr>
                <w:rFonts w:hint="eastAsia" w:ascii="楷体" w:hAnsi="楷体" w:eastAsia="楷体"/>
                <w:szCs w:val="21"/>
              </w:rPr>
              <w:t>数量                   区域</w:t>
            </w:r>
          </w:p>
        </w:tc>
        <w:tc>
          <w:tcPr>
            <w:tcW w:w="992" w:type="dxa"/>
            <w:vAlign w:val="center"/>
          </w:tcPr>
          <w:p>
            <w:pPr>
              <w:spacing w:line="420" w:lineRule="exact"/>
              <w:jc w:val="center"/>
              <w:rPr>
                <w:rFonts w:ascii="楷体" w:hAnsi="楷体" w:eastAsia="楷体"/>
                <w:szCs w:val="21"/>
              </w:rPr>
            </w:pPr>
            <w:r>
              <w:rPr>
                <w:rFonts w:hint="eastAsia" w:ascii="楷体" w:hAnsi="楷体" w:eastAsia="楷体"/>
                <w:szCs w:val="21"/>
              </w:rPr>
              <w:t>豫东</w:t>
            </w:r>
          </w:p>
        </w:tc>
        <w:tc>
          <w:tcPr>
            <w:tcW w:w="992" w:type="dxa"/>
            <w:vAlign w:val="center"/>
          </w:tcPr>
          <w:p>
            <w:pPr>
              <w:spacing w:line="420" w:lineRule="exact"/>
              <w:jc w:val="center"/>
              <w:rPr>
                <w:rFonts w:ascii="楷体" w:hAnsi="楷体" w:eastAsia="楷体"/>
                <w:szCs w:val="21"/>
              </w:rPr>
            </w:pPr>
            <w:r>
              <w:rPr>
                <w:rFonts w:hint="eastAsia" w:ascii="楷体" w:hAnsi="楷体" w:eastAsia="楷体"/>
                <w:szCs w:val="21"/>
              </w:rPr>
              <w:t>豫南</w:t>
            </w:r>
          </w:p>
        </w:tc>
        <w:tc>
          <w:tcPr>
            <w:tcW w:w="993" w:type="dxa"/>
            <w:vAlign w:val="center"/>
          </w:tcPr>
          <w:p>
            <w:pPr>
              <w:spacing w:line="420" w:lineRule="exact"/>
              <w:jc w:val="center"/>
              <w:rPr>
                <w:rFonts w:ascii="楷体" w:hAnsi="楷体" w:eastAsia="楷体"/>
                <w:szCs w:val="21"/>
              </w:rPr>
            </w:pPr>
            <w:r>
              <w:rPr>
                <w:rFonts w:hint="eastAsia" w:ascii="楷体" w:hAnsi="楷体" w:eastAsia="楷体"/>
                <w:szCs w:val="21"/>
              </w:rPr>
              <w:t>豫中</w:t>
            </w:r>
          </w:p>
        </w:tc>
        <w:tc>
          <w:tcPr>
            <w:tcW w:w="1134" w:type="dxa"/>
            <w:vAlign w:val="center"/>
          </w:tcPr>
          <w:p>
            <w:pPr>
              <w:spacing w:line="420" w:lineRule="exact"/>
              <w:jc w:val="center"/>
              <w:rPr>
                <w:rFonts w:ascii="楷体" w:hAnsi="楷体" w:eastAsia="楷体"/>
                <w:szCs w:val="21"/>
              </w:rPr>
            </w:pPr>
            <w:r>
              <w:rPr>
                <w:rFonts w:hint="eastAsia" w:ascii="楷体" w:hAnsi="楷体" w:eastAsia="楷体"/>
                <w:szCs w:val="21"/>
              </w:rPr>
              <w:t>豫西</w:t>
            </w:r>
          </w:p>
        </w:tc>
        <w:tc>
          <w:tcPr>
            <w:tcW w:w="992" w:type="dxa"/>
            <w:vAlign w:val="center"/>
          </w:tcPr>
          <w:p>
            <w:pPr>
              <w:spacing w:line="420" w:lineRule="exact"/>
              <w:jc w:val="center"/>
              <w:rPr>
                <w:rFonts w:ascii="楷体" w:hAnsi="楷体" w:eastAsia="楷体"/>
                <w:szCs w:val="21"/>
              </w:rPr>
            </w:pPr>
            <w:r>
              <w:rPr>
                <w:rFonts w:hint="eastAsia" w:ascii="楷体" w:hAnsi="楷体" w:eastAsia="楷体"/>
                <w:szCs w:val="21"/>
              </w:rPr>
              <w:t>豫北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19" w:type="dxa"/>
          </w:tcPr>
          <w:p>
            <w:pPr>
              <w:spacing w:line="420" w:lineRule="exact"/>
              <w:rPr>
                <w:rFonts w:ascii="楷体" w:hAnsi="楷体" w:eastAsia="楷体"/>
                <w:szCs w:val="21"/>
              </w:rPr>
            </w:pPr>
            <w:r>
              <w:rPr>
                <w:rFonts w:hint="eastAsia" w:ascii="楷体" w:hAnsi="楷体" w:eastAsia="楷体"/>
                <w:szCs w:val="21"/>
              </w:rPr>
              <w:t>具备教育硕士培养高校数</w:t>
            </w:r>
          </w:p>
        </w:tc>
        <w:tc>
          <w:tcPr>
            <w:tcW w:w="992" w:type="dxa"/>
            <w:vAlign w:val="center"/>
          </w:tcPr>
          <w:p>
            <w:pPr>
              <w:spacing w:line="420" w:lineRule="exact"/>
              <w:jc w:val="center"/>
              <w:rPr>
                <w:rFonts w:ascii="楷体" w:hAnsi="楷体" w:eastAsia="楷体"/>
                <w:szCs w:val="21"/>
              </w:rPr>
            </w:pPr>
            <w:r>
              <w:rPr>
                <w:rFonts w:hint="eastAsia" w:ascii="楷体" w:hAnsi="楷体" w:eastAsia="楷体"/>
                <w:szCs w:val="21"/>
              </w:rPr>
              <w:t>0</w:t>
            </w:r>
          </w:p>
        </w:tc>
        <w:tc>
          <w:tcPr>
            <w:tcW w:w="992" w:type="dxa"/>
            <w:vAlign w:val="center"/>
          </w:tcPr>
          <w:p>
            <w:pPr>
              <w:spacing w:line="420" w:lineRule="exact"/>
              <w:jc w:val="center"/>
              <w:rPr>
                <w:rFonts w:ascii="楷体" w:hAnsi="楷体" w:eastAsia="楷体"/>
                <w:szCs w:val="21"/>
              </w:rPr>
            </w:pPr>
            <w:r>
              <w:rPr>
                <w:rFonts w:hint="eastAsia" w:ascii="楷体" w:hAnsi="楷体" w:eastAsia="楷体"/>
                <w:szCs w:val="21"/>
              </w:rPr>
              <w:t>1</w:t>
            </w:r>
          </w:p>
        </w:tc>
        <w:tc>
          <w:tcPr>
            <w:tcW w:w="993" w:type="dxa"/>
            <w:vAlign w:val="center"/>
          </w:tcPr>
          <w:p>
            <w:pPr>
              <w:spacing w:line="420" w:lineRule="exact"/>
              <w:jc w:val="center"/>
              <w:rPr>
                <w:rFonts w:ascii="楷体" w:hAnsi="楷体" w:eastAsia="楷体"/>
                <w:szCs w:val="21"/>
              </w:rPr>
            </w:pPr>
            <w:r>
              <w:rPr>
                <w:rFonts w:hint="eastAsia" w:ascii="楷体" w:hAnsi="楷体" w:eastAsia="楷体"/>
                <w:szCs w:val="21"/>
              </w:rPr>
              <w:t>2</w:t>
            </w:r>
          </w:p>
        </w:tc>
        <w:tc>
          <w:tcPr>
            <w:tcW w:w="1134" w:type="dxa"/>
            <w:vAlign w:val="center"/>
          </w:tcPr>
          <w:p>
            <w:pPr>
              <w:spacing w:line="420" w:lineRule="exact"/>
              <w:jc w:val="center"/>
              <w:rPr>
                <w:rFonts w:ascii="楷体" w:hAnsi="楷体" w:eastAsia="楷体"/>
                <w:szCs w:val="21"/>
              </w:rPr>
            </w:pPr>
            <w:r>
              <w:rPr>
                <w:rFonts w:hint="eastAsia" w:ascii="楷体" w:hAnsi="楷体" w:eastAsia="楷体"/>
                <w:szCs w:val="21"/>
              </w:rPr>
              <w:t>1</w:t>
            </w:r>
          </w:p>
        </w:tc>
        <w:tc>
          <w:tcPr>
            <w:tcW w:w="992" w:type="dxa"/>
            <w:vAlign w:val="center"/>
          </w:tcPr>
          <w:p>
            <w:pPr>
              <w:spacing w:line="420" w:lineRule="exact"/>
              <w:jc w:val="center"/>
              <w:rPr>
                <w:rFonts w:ascii="楷体" w:hAnsi="楷体" w:eastAsia="楷体"/>
                <w:szCs w:val="21"/>
              </w:rPr>
            </w:pPr>
            <w:r>
              <w:rPr>
                <w:rFonts w:hint="eastAsia" w:ascii="楷体" w:hAnsi="楷体" w:eastAsia="楷体"/>
                <w:szCs w:val="21"/>
              </w:rPr>
              <w:t>2</w:t>
            </w:r>
          </w:p>
        </w:tc>
      </w:tr>
    </w:tbl>
    <w:p>
      <w:pPr>
        <w:spacing w:line="420" w:lineRule="exact"/>
        <w:ind w:firstLine="480" w:firstLineChars="200"/>
        <w:rPr>
          <w:sz w:val="24"/>
          <w:szCs w:val="24"/>
        </w:rPr>
      </w:pPr>
      <w:r>
        <w:rPr>
          <w:rFonts w:hint="eastAsia"/>
          <w:sz w:val="24"/>
          <w:szCs w:val="24"/>
        </w:rPr>
        <w:t>从表5可以看出，河南省具备教育硕士培养资格的六所高校，豫北2所，豫南1所，豫西1所，豫中2所，豫东0所，招生规模每年600人左右。该局面制约着河南省基础教育整体水平的发展，以高等教师教育资源较丰富的新乡市与高等教育资源较弱的周口市对比略加说明。</w:t>
      </w:r>
    </w:p>
    <w:p>
      <w:pPr>
        <w:spacing w:line="420" w:lineRule="exact"/>
        <w:ind w:firstLine="525" w:firstLineChars="250"/>
        <w:rPr>
          <w:rFonts w:ascii="楷体" w:hAnsi="楷体" w:eastAsia="楷体"/>
          <w:szCs w:val="21"/>
        </w:rPr>
      </w:pPr>
      <w:r>
        <w:rPr>
          <w:rFonts w:hint="eastAsia" w:ascii="楷体" w:hAnsi="楷体" w:eastAsia="楷体"/>
          <w:szCs w:val="21"/>
        </w:rPr>
        <w:t>表6:2016年新乡市与周口市教师教育资源统计表。</w:t>
      </w:r>
    </w:p>
    <w:tbl>
      <w:tblPr>
        <w:tblStyle w:val="10"/>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1275"/>
        <w:gridCol w:w="1560"/>
        <w:gridCol w:w="2551"/>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Borders>
              <w:tl2br w:val="single" w:color="auto" w:sz="4" w:space="0"/>
            </w:tcBorders>
            <w:vAlign w:val="center"/>
          </w:tcPr>
          <w:p>
            <w:pPr>
              <w:spacing w:line="420" w:lineRule="exact"/>
              <w:jc w:val="center"/>
              <w:rPr>
                <w:rFonts w:ascii="楷体" w:hAnsi="楷体" w:eastAsia="楷体"/>
                <w:szCs w:val="21"/>
              </w:rPr>
            </w:pPr>
            <w:r>
              <w:rPr>
                <w:rFonts w:hint="eastAsia" w:ascii="楷体" w:hAnsi="楷体" w:eastAsia="楷体"/>
                <w:szCs w:val="21"/>
              </w:rPr>
              <w:t xml:space="preserve">    类别   市区</w:t>
            </w:r>
          </w:p>
        </w:tc>
        <w:tc>
          <w:tcPr>
            <w:tcW w:w="1275" w:type="dxa"/>
            <w:vAlign w:val="center"/>
          </w:tcPr>
          <w:p>
            <w:pPr>
              <w:spacing w:line="420" w:lineRule="exact"/>
              <w:jc w:val="center"/>
              <w:rPr>
                <w:rFonts w:ascii="楷体" w:hAnsi="楷体" w:eastAsia="楷体"/>
                <w:szCs w:val="21"/>
              </w:rPr>
            </w:pPr>
            <w:r>
              <w:rPr>
                <w:rFonts w:hint="eastAsia" w:ascii="楷体" w:hAnsi="楷体" w:eastAsia="楷体"/>
                <w:szCs w:val="21"/>
              </w:rPr>
              <w:t>人口（万）</w:t>
            </w:r>
          </w:p>
        </w:tc>
        <w:tc>
          <w:tcPr>
            <w:tcW w:w="1560" w:type="dxa"/>
            <w:vAlign w:val="center"/>
          </w:tcPr>
          <w:p>
            <w:pPr>
              <w:spacing w:line="420" w:lineRule="exact"/>
              <w:jc w:val="center"/>
              <w:rPr>
                <w:rFonts w:ascii="楷体" w:hAnsi="楷体" w:eastAsia="楷体"/>
                <w:szCs w:val="21"/>
              </w:rPr>
            </w:pPr>
            <w:r>
              <w:rPr>
                <w:rFonts w:hint="eastAsia" w:ascii="楷体" w:hAnsi="楷体" w:eastAsia="楷体"/>
                <w:szCs w:val="21"/>
              </w:rPr>
              <w:t>开设教师教育专业高校数</w:t>
            </w:r>
          </w:p>
        </w:tc>
        <w:tc>
          <w:tcPr>
            <w:tcW w:w="2551" w:type="dxa"/>
            <w:vAlign w:val="center"/>
          </w:tcPr>
          <w:p>
            <w:pPr>
              <w:spacing w:line="420" w:lineRule="exact"/>
              <w:jc w:val="center"/>
              <w:rPr>
                <w:rFonts w:ascii="楷体" w:hAnsi="楷体" w:eastAsia="楷体"/>
                <w:szCs w:val="21"/>
              </w:rPr>
            </w:pPr>
            <w:r>
              <w:rPr>
                <w:rFonts w:hint="eastAsia" w:ascii="楷体" w:hAnsi="楷体" w:eastAsia="楷体"/>
                <w:szCs w:val="21"/>
              </w:rPr>
              <w:t>教师教育研究生招生规模</w:t>
            </w:r>
          </w:p>
        </w:tc>
        <w:tc>
          <w:tcPr>
            <w:tcW w:w="1843" w:type="dxa"/>
            <w:vAlign w:val="center"/>
          </w:tcPr>
          <w:p>
            <w:pPr>
              <w:spacing w:line="420" w:lineRule="exact"/>
              <w:jc w:val="center"/>
              <w:rPr>
                <w:rFonts w:ascii="楷体" w:hAnsi="楷体" w:eastAsia="楷体"/>
                <w:szCs w:val="21"/>
              </w:rPr>
            </w:pPr>
            <w:r>
              <w:rPr>
                <w:rFonts w:hint="eastAsia" w:ascii="楷体" w:hAnsi="楷体" w:eastAsia="楷体"/>
                <w:szCs w:val="21"/>
              </w:rPr>
              <w:t>基础教育中研究生教师数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420" w:lineRule="exact"/>
              <w:rPr>
                <w:rFonts w:ascii="楷体" w:hAnsi="楷体" w:eastAsia="楷体"/>
                <w:szCs w:val="21"/>
              </w:rPr>
            </w:pPr>
            <w:r>
              <w:rPr>
                <w:rFonts w:hint="eastAsia" w:ascii="楷体" w:hAnsi="楷体" w:eastAsia="楷体"/>
                <w:szCs w:val="21"/>
              </w:rPr>
              <w:t>周口市</w:t>
            </w:r>
          </w:p>
        </w:tc>
        <w:tc>
          <w:tcPr>
            <w:tcW w:w="1275" w:type="dxa"/>
            <w:vAlign w:val="center"/>
          </w:tcPr>
          <w:p>
            <w:pPr>
              <w:spacing w:line="420" w:lineRule="exact"/>
              <w:jc w:val="center"/>
              <w:rPr>
                <w:rFonts w:ascii="楷体" w:hAnsi="楷体" w:eastAsia="楷体"/>
                <w:szCs w:val="21"/>
              </w:rPr>
            </w:pPr>
            <w:r>
              <w:rPr>
                <w:rFonts w:hint="eastAsia" w:ascii="楷体" w:hAnsi="楷体" w:eastAsia="楷体"/>
                <w:szCs w:val="21"/>
              </w:rPr>
              <w:t>1149</w:t>
            </w:r>
          </w:p>
        </w:tc>
        <w:tc>
          <w:tcPr>
            <w:tcW w:w="1560" w:type="dxa"/>
            <w:vAlign w:val="center"/>
          </w:tcPr>
          <w:p>
            <w:pPr>
              <w:spacing w:line="420" w:lineRule="exact"/>
              <w:jc w:val="center"/>
              <w:rPr>
                <w:rFonts w:ascii="楷体" w:hAnsi="楷体" w:eastAsia="楷体"/>
                <w:szCs w:val="21"/>
              </w:rPr>
            </w:pPr>
            <w:r>
              <w:rPr>
                <w:rFonts w:hint="eastAsia" w:ascii="楷体" w:hAnsi="楷体" w:eastAsia="楷体"/>
                <w:szCs w:val="21"/>
              </w:rPr>
              <w:t>1</w:t>
            </w:r>
          </w:p>
        </w:tc>
        <w:tc>
          <w:tcPr>
            <w:tcW w:w="2551" w:type="dxa"/>
            <w:vAlign w:val="center"/>
          </w:tcPr>
          <w:p>
            <w:pPr>
              <w:spacing w:line="420" w:lineRule="exact"/>
              <w:jc w:val="center"/>
              <w:rPr>
                <w:rFonts w:ascii="楷体" w:hAnsi="楷体" w:eastAsia="楷体"/>
                <w:szCs w:val="21"/>
              </w:rPr>
            </w:pPr>
            <w:r>
              <w:rPr>
                <w:rFonts w:hint="eastAsia" w:ascii="楷体" w:hAnsi="楷体" w:eastAsia="楷体"/>
                <w:szCs w:val="21"/>
              </w:rPr>
              <w:t>6（与郑州大学联合招生）</w:t>
            </w:r>
          </w:p>
        </w:tc>
        <w:tc>
          <w:tcPr>
            <w:tcW w:w="1843" w:type="dxa"/>
            <w:vAlign w:val="center"/>
          </w:tcPr>
          <w:p>
            <w:pPr>
              <w:spacing w:line="420" w:lineRule="exact"/>
              <w:jc w:val="center"/>
              <w:rPr>
                <w:rFonts w:ascii="楷体" w:hAnsi="楷体" w:eastAsia="楷体"/>
                <w:szCs w:val="21"/>
              </w:rPr>
            </w:pPr>
            <w:r>
              <w:rPr>
                <w:rFonts w:hint="eastAsia" w:ascii="楷体" w:hAnsi="楷体" w:eastAsia="楷体"/>
                <w:szCs w:val="21"/>
              </w:rPr>
              <w:t>500（约）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420" w:lineRule="exact"/>
              <w:rPr>
                <w:rFonts w:ascii="楷体" w:hAnsi="楷体" w:eastAsia="楷体"/>
                <w:szCs w:val="21"/>
              </w:rPr>
            </w:pPr>
            <w:r>
              <w:rPr>
                <w:rFonts w:hint="eastAsia" w:ascii="楷体" w:hAnsi="楷体" w:eastAsia="楷体"/>
                <w:szCs w:val="21"/>
              </w:rPr>
              <w:t>新乡市</w:t>
            </w:r>
          </w:p>
        </w:tc>
        <w:tc>
          <w:tcPr>
            <w:tcW w:w="1275" w:type="dxa"/>
            <w:vAlign w:val="center"/>
          </w:tcPr>
          <w:p>
            <w:pPr>
              <w:spacing w:line="420" w:lineRule="exact"/>
              <w:jc w:val="center"/>
              <w:rPr>
                <w:rFonts w:ascii="楷体" w:hAnsi="楷体" w:eastAsia="楷体"/>
                <w:szCs w:val="21"/>
              </w:rPr>
            </w:pPr>
            <w:r>
              <w:rPr>
                <w:rFonts w:hint="eastAsia" w:ascii="楷体" w:hAnsi="楷体" w:eastAsia="楷体"/>
                <w:szCs w:val="21"/>
              </w:rPr>
              <w:t>680</w:t>
            </w:r>
          </w:p>
        </w:tc>
        <w:tc>
          <w:tcPr>
            <w:tcW w:w="1560" w:type="dxa"/>
            <w:vAlign w:val="center"/>
          </w:tcPr>
          <w:p>
            <w:pPr>
              <w:spacing w:line="420" w:lineRule="exact"/>
              <w:jc w:val="center"/>
              <w:rPr>
                <w:rFonts w:ascii="楷体" w:hAnsi="楷体" w:eastAsia="楷体"/>
                <w:szCs w:val="21"/>
              </w:rPr>
            </w:pPr>
            <w:r>
              <w:rPr>
                <w:rFonts w:hint="eastAsia" w:ascii="楷体" w:hAnsi="楷体" w:eastAsia="楷体"/>
                <w:szCs w:val="21"/>
              </w:rPr>
              <w:t>3</w:t>
            </w:r>
          </w:p>
        </w:tc>
        <w:tc>
          <w:tcPr>
            <w:tcW w:w="2551" w:type="dxa"/>
            <w:vAlign w:val="center"/>
          </w:tcPr>
          <w:p>
            <w:pPr>
              <w:spacing w:line="420" w:lineRule="exact"/>
              <w:jc w:val="center"/>
              <w:rPr>
                <w:rFonts w:ascii="楷体" w:hAnsi="楷体" w:eastAsia="楷体"/>
                <w:szCs w:val="21"/>
              </w:rPr>
            </w:pPr>
            <w:r>
              <w:rPr>
                <w:rFonts w:hint="eastAsia" w:ascii="楷体" w:hAnsi="楷体" w:eastAsia="楷体"/>
                <w:szCs w:val="21"/>
              </w:rPr>
              <w:t>108</w:t>
            </w:r>
          </w:p>
        </w:tc>
        <w:tc>
          <w:tcPr>
            <w:tcW w:w="1843" w:type="dxa"/>
            <w:vAlign w:val="center"/>
          </w:tcPr>
          <w:p>
            <w:pPr>
              <w:spacing w:line="420" w:lineRule="exact"/>
              <w:jc w:val="center"/>
              <w:rPr>
                <w:rFonts w:ascii="楷体" w:hAnsi="楷体" w:eastAsia="楷体"/>
                <w:szCs w:val="21"/>
              </w:rPr>
            </w:pPr>
            <w:r>
              <w:rPr>
                <w:rFonts w:hint="eastAsia" w:ascii="楷体" w:hAnsi="楷体" w:eastAsia="楷体"/>
                <w:szCs w:val="21"/>
              </w:rPr>
              <w:t>1600（约）</w:t>
            </w:r>
          </w:p>
        </w:tc>
      </w:tr>
    </w:tbl>
    <w:p>
      <w:pPr>
        <w:spacing w:line="420" w:lineRule="exact"/>
        <w:ind w:firstLine="420" w:firstLineChars="200"/>
        <w:rPr>
          <w:rFonts w:ascii="楷体" w:hAnsi="楷体" w:eastAsia="楷体"/>
          <w:szCs w:val="21"/>
        </w:rPr>
      </w:pPr>
      <w:r>
        <w:rPr>
          <w:rFonts w:hint="eastAsia" w:ascii="楷体" w:hAnsi="楷体" w:eastAsia="楷体"/>
          <w:szCs w:val="21"/>
        </w:rPr>
        <w:t>表7：周口市郸城一高与新乡</w:t>
      </w:r>
      <w:r>
        <w:rPr>
          <w:rFonts w:hint="eastAsia" w:ascii="楷体" w:hAnsi="楷体" w:eastAsia="楷体"/>
          <w:szCs w:val="21"/>
          <w:lang w:eastAsia="zh-CN"/>
        </w:rPr>
        <w:t>市</w:t>
      </w:r>
      <w:r>
        <w:rPr>
          <w:rFonts w:hint="eastAsia" w:ascii="楷体" w:hAnsi="楷体" w:eastAsia="楷体"/>
          <w:szCs w:val="21"/>
        </w:rPr>
        <w:t>一中教学资源统计表</w:t>
      </w:r>
    </w:p>
    <w:tbl>
      <w:tblPr>
        <w:tblStyle w:val="10"/>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Borders>
              <w:tl2br w:val="thinThickThinLargeGap" w:color="auto" w:sz="2" w:space="0"/>
            </w:tcBorders>
          </w:tcPr>
          <w:p>
            <w:pPr>
              <w:spacing w:line="420" w:lineRule="exact"/>
              <w:ind w:firstLine="840" w:firstLineChars="400"/>
              <w:jc w:val="center"/>
              <w:rPr>
                <w:rFonts w:ascii="楷体" w:hAnsi="楷体" w:eastAsia="楷体"/>
                <w:szCs w:val="21"/>
              </w:rPr>
            </w:pPr>
            <w:r>
              <w:rPr>
                <w:rFonts w:hint="eastAsia" w:ascii="楷体" w:hAnsi="楷体" w:eastAsia="楷体"/>
                <w:szCs w:val="21"/>
              </w:rPr>
              <w:t>类别</w:t>
            </w:r>
          </w:p>
          <w:p>
            <w:pPr>
              <w:spacing w:line="420" w:lineRule="exact"/>
              <w:jc w:val="center"/>
              <w:rPr>
                <w:rFonts w:ascii="楷体" w:hAnsi="楷体" w:eastAsia="楷体"/>
                <w:szCs w:val="21"/>
              </w:rPr>
            </w:pPr>
            <w:r>
              <w:rPr>
                <w:rFonts w:hint="eastAsia" w:ascii="楷体" w:hAnsi="楷体" w:eastAsia="楷体"/>
                <w:szCs w:val="21"/>
              </w:rPr>
              <w:t>学校</w:t>
            </w:r>
          </w:p>
        </w:tc>
        <w:tc>
          <w:tcPr>
            <w:tcW w:w="1704" w:type="dxa"/>
            <w:vAlign w:val="center"/>
          </w:tcPr>
          <w:p>
            <w:pPr>
              <w:spacing w:line="420" w:lineRule="exact"/>
              <w:jc w:val="center"/>
              <w:rPr>
                <w:rFonts w:ascii="楷体" w:hAnsi="楷体" w:eastAsia="楷体"/>
                <w:szCs w:val="21"/>
              </w:rPr>
            </w:pPr>
            <w:r>
              <w:rPr>
                <w:rFonts w:hint="eastAsia" w:ascii="楷体" w:hAnsi="楷体" w:eastAsia="楷体"/>
                <w:szCs w:val="21"/>
              </w:rPr>
              <w:t>专任教师人数</w:t>
            </w:r>
          </w:p>
        </w:tc>
        <w:tc>
          <w:tcPr>
            <w:tcW w:w="1704" w:type="dxa"/>
            <w:vAlign w:val="center"/>
          </w:tcPr>
          <w:p>
            <w:pPr>
              <w:spacing w:line="420" w:lineRule="exact"/>
              <w:jc w:val="center"/>
              <w:rPr>
                <w:rFonts w:ascii="楷体" w:hAnsi="楷体" w:eastAsia="楷体"/>
                <w:szCs w:val="21"/>
              </w:rPr>
            </w:pPr>
            <w:r>
              <w:rPr>
                <w:rFonts w:hint="eastAsia" w:ascii="楷体" w:hAnsi="楷体" w:eastAsia="楷体"/>
                <w:szCs w:val="21"/>
              </w:rPr>
              <w:t>硕士生人数</w:t>
            </w:r>
          </w:p>
        </w:tc>
        <w:tc>
          <w:tcPr>
            <w:tcW w:w="1705" w:type="dxa"/>
            <w:vAlign w:val="center"/>
          </w:tcPr>
          <w:p>
            <w:pPr>
              <w:spacing w:line="420" w:lineRule="exact"/>
              <w:jc w:val="center"/>
              <w:rPr>
                <w:rFonts w:ascii="楷体" w:hAnsi="楷体" w:eastAsia="楷体"/>
                <w:szCs w:val="21"/>
              </w:rPr>
            </w:pPr>
            <w:r>
              <w:rPr>
                <w:rFonts w:hint="eastAsia" w:ascii="楷体" w:hAnsi="楷体" w:eastAsia="楷体"/>
                <w:szCs w:val="21"/>
              </w:rPr>
              <w:t>在校生人数</w:t>
            </w:r>
          </w:p>
        </w:tc>
        <w:tc>
          <w:tcPr>
            <w:tcW w:w="1513" w:type="dxa"/>
            <w:vAlign w:val="center"/>
          </w:tcPr>
          <w:p>
            <w:pPr>
              <w:spacing w:line="420" w:lineRule="exact"/>
              <w:jc w:val="center"/>
              <w:rPr>
                <w:rFonts w:ascii="楷体" w:hAnsi="楷体" w:eastAsia="楷体"/>
                <w:szCs w:val="21"/>
              </w:rPr>
            </w:pPr>
            <w:r>
              <w:rPr>
                <w:rFonts w:hint="eastAsia" w:ascii="楷体" w:hAnsi="楷体" w:eastAsia="楷体"/>
                <w:szCs w:val="21"/>
              </w:rPr>
              <w:t>生师比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420" w:lineRule="exact"/>
              <w:jc w:val="center"/>
              <w:rPr>
                <w:rFonts w:ascii="楷体" w:hAnsi="楷体" w:eastAsia="楷体"/>
                <w:szCs w:val="21"/>
              </w:rPr>
            </w:pPr>
            <w:r>
              <w:rPr>
                <w:rFonts w:hint="eastAsia" w:ascii="楷体" w:hAnsi="楷体" w:eastAsia="楷体"/>
                <w:szCs w:val="21"/>
              </w:rPr>
              <w:t>周口市郸城一高</w:t>
            </w:r>
          </w:p>
        </w:tc>
        <w:tc>
          <w:tcPr>
            <w:tcW w:w="1704" w:type="dxa"/>
            <w:vAlign w:val="center"/>
          </w:tcPr>
          <w:p>
            <w:pPr>
              <w:spacing w:line="420" w:lineRule="exact"/>
              <w:jc w:val="center"/>
              <w:rPr>
                <w:rFonts w:ascii="楷体" w:hAnsi="楷体" w:eastAsia="楷体"/>
                <w:szCs w:val="21"/>
              </w:rPr>
            </w:pPr>
            <w:r>
              <w:rPr>
                <w:rFonts w:hint="eastAsia" w:ascii="楷体" w:hAnsi="楷体" w:eastAsia="楷体"/>
                <w:szCs w:val="21"/>
              </w:rPr>
              <w:t>496</w:t>
            </w:r>
          </w:p>
        </w:tc>
        <w:tc>
          <w:tcPr>
            <w:tcW w:w="1704" w:type="dxa"/>
            <w:vAlign w:val="center"/>
          </w:tcPr>
          <w:p>
            <w:pPr>
              <w:spacing w:line="420" w:lineRule="exact"/>
              <w:jc w:val="center"/>
              <w:rPr>
                <w:rFonts w:ascii="楷体" w:hAnsi="楷体" w:eastAsia="楷体"/>
                <w:szCs w:val="21"/>
              </w:rPr>
            </w:pPr>
            <w:r>
              <w:rPr>
                <w:rFonts w:hint="eastAsia" w:ascii="楷体" w:hAnsi="楷体" w:eastAsia="楷体"/>
                <w:szCs w:val="21"/>
              </w:rPr>
              <w:t>29</w:t>
            </w:r>
          </w:p>
        </w:tc>
        <w:tc>
          <w:tcPr>
            <w:tcW w:w="1705" w:type="dxa"/>
            <w:vAlign w:val="center"/>
          </w:tcPr>
          <w:p>
            <w:pPr>
              <w:spacing w:line="420" w:lineRule="exact"/>
              <w:jc w:val="center"/>
              <w:rPr>
                <w:rFonts w:ascii="楷体" w:hAnsi="楷体" w:eastAsia="楷体"/>
                <w:szCs w:val="21"/>
              </w:rPr>
            </w:pPr>
            <w:r>
              <w:rPr>
                <w:rFonts w:hint="eastAsia" w:ascii="楷体" w:hAnsi="楷体" w:eastAsia="楷体"/>
                <w:szCs w:val="21"/>
              </w:rPr>
              <w:t>9000</w:t>
            </w:r>
          </w:p>
        </w:tc>
        <w:tc>
          <w:tcPr>
            <w:tcW w:w="1513" w:type="dxa"/>
            <w:vAlign w:val="center"/>
          </w:tcPr>
          <w:p>
            <w:pPr>
              <w:spacing w:line="420" w:lineRule="exact"/>
              <w:jc w:val="center"/>
              <w:rPr>
                <w:rFonts w:ascii="楷体" w:hAnsi="楷体" w:eastAsia="楷体"/>
                <w:szCs w:val="21"/>
              </w:rPr>
            </w:pPr>
            <w:r>
              <w:rPr>
                <w:rFonts w:hint="eastAsia" w:ascii="楷体" w:hAnsi="楷体" w:eastAsia="楷体"/>
                <w:szCs w:val="21"/>
              </w:rPr>
              <w:t>18.1:1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420" w:lineRule="exact"/>
              <w:jc w:val="center"/>
              <w:rPr>
                <w:rFonts w:ascii="楷体" w:hAnsi="楷体" w:eastAsia="楷体"/>
                <w:szCs w:val="21"/>
              </w:rPr>
            </w:pPr>
            <w:r>
              <w:rPr>
                <w:rFonts w:hint="eastAsia" w:ascii="楷体" w:hAnsi="楷体" w:eastAsia="楷体"/>
                <w:szCs w:val="21"/>
              </w:rPr>
              <w:t>新乡市一中</w:t>
            </w:r>
          </w:p>
        </w:tc>
        <w:tc>
          <w:tcPr>
            <w:tcW w:w="1704" w:type="dxa"/>
            <w:vAlign w:val="center"/>
          </w:tcPr>
          <w:p>
            <w:pPr>
              <w:spacing w:line="420" w:lineRule="exact"/>
              <w:jc w:val="center"/>
              <w:rPr>
                <w:rFonts w:ascii="楷体" w:hAnsi="楷体" w:eastAsia="楷体"/>
                <w:szCs w:val="21"/>
              </w:rPr>
            </w:pPr>
            <w:r>
              <w:rPr>
                <w:rFonts w:hint="eastAsia" w:ascii="楷体" w:hAnsi="楷体" w:eastAsia="楷体"/>
                <w:szCs w:val="21"/>
              </w:rPr>
              <w:t>887</w:t>
            </w:r>
          </w:p>
        </w:tc>
        <w:tc>
          <w:tcPr>
            <w:tcW w:w="1704" w:type="dxa"/>
            <w:vAlign w:val="center"/>
          </w:tcPr>
          <w:p>
            <w:pPr>
              <w:spacing w:line="420" w:lineRule="exact"/>
              <w:jc w:val="center"/>
              <w:rPr>
                <w:rFonts w:ascii="楷体" w:hAnsi="楷体" w:eastAsia="楷体"/>
                <w:szCs w:val="21"/>
              </w:rPr>
            </w:pPr>
            <w:r>
              <w:rPr>
                <w:rFonts w:hint="eastAsia" w:ascii="楷体" w:hAnsi="楷体" w:eastAsia="楷体"/>
                <w:szCs w:val="21"/>
              </w:rPr>
              <w:t>198</w:t>
            </w:r>
          </w:p>
        </w:tc>
        <w:tc>
          <w:tcPr>
            <w:tcW w:w="1705" w:type="dxa"/>
            <w:vAlign w:val="center"/>
          </w:tcPr>
          <w:p>
            <w:pPr>
              <w:spacing w:line="420" w:lineRule="exact"/>
              <w:jc w:val="center"/>
              <w:rPr>
                <w:rFonts w:ascii="楷体" w:hAnsi="楷体" w:eastAsia="楷体"/>
                <w:szCs w:val="21"/>
              </w:rPr>
            </w:pPr>
            <w:r>
              <w:rPr>
                <w:rFonts w:hint="eastAsia" w:ascii="楷体" w:hAnsi="楷体" w:eastAsia="楷体"/>
                <w:szCs w:val="21"/>
              </w:rPr>
              <w:t>14000</w:t>
            </w:r>
          </w:p>
        </w:tc>
        <w:tc>
          <w:tcPr>
            <w:tcW w:w="1513" w:type="dxa"/>
            <w:vAlign w:val="center"/>
          </w:tcPr>
          <w:p>
            <w:pPr>
              <w:spacing w:line="420" w:lineRule="exact"/>
              <w:jc w:val="center"/>
              <w:rPr>
                <w:rFonts w:ascii="楷体" w:hAnsi="楷体" w:eastAsia="楷体"/>
                <w:szCs w:val="21"/>
              </w:rPr>
            </w:pPr>
            <w:r>
              <w:rPr>
                <w:rFonts w:hint="eastAsia" w:ascii="楷体" w:hAnsi="楷体" w:eastAsia="楷体"/>
                <w:szCs w:val="21"/>
              </w:rPr>
              <w:t>15.7:1</w:t>
            </w:r>
          </w:p>
        </w:tc>
      </w:tr>
    </w:tbl>
    <w:p>
      <w:pPr>
        <w:spacing w:line="420" w:lineRule="exact"/>
        <w:ind w:firstLine="480" w:firstLineChars="200"/>
        <w:rPr>
          <w:sz w:val="24"/>
          <w:szCs w:val="24"/>
        </w:rPr>
      </w:pPr>
      <w:r>
        <w:rPr>
          <w:rFonts w:hint="eastAsia"/>
          <w:sz w:val="24"/>
          <w:szCs w:val="24"/>
        </w:rPr>
        <w:t>从表6、表7可以看出，高师教育资源丰富的地区基础教育整体水平明显要好于高师教育资源相对弱的地区。以此，周口师范学院作为豫东南唯一一所高等师范院校，迫切需要教育硕士学位授权，以平衡河南省教育硕士培养单位区域分布不均，丰富豫东南地区高师教育资源，提升周口师范学院服务地方基础教育及文化建设的能力。</w:t>
      </w:r>
    </w:p>
    <w:p>
      <w:pPr>
        <w:spacing w:line="420" w:lineRule="exact"/>
        <w:ind w:firstLine="482" w:firstLineChars="200"/>
        <w:rPr>
          <w:sz w:val="24"/>
          <w:szCs w:val="24"/>
        </w:rPr>
      </w:pPr>
      <w:r>
        <w:rPr>
          <w:rFonts w:hint="eastAsia"/>
          <w:b/>
          <w:sz w:val="24"/>
          <w:szCs w:val="24"/>
        </w:rPr>
        <w:t>2.促进周口师范学院学科发展的需要。</w:t>
      </w:r>
      <w:r>
        <w:rPr>
          <w:rFonts w:hint="eastAsia"/>
          <w:sz w:val="24"/>
          <w:szCs w:val="24"/>
        </w:rPr>
        <w:t>周口师范学院教师教育专业经过40多年的发展，已成为学校的优势专业，有河南省重点学科1个，河南省特色专业3个，河南</w:t>
      </w:r>
      <w:r>
        <w:rPr>
          <w:rFonts w:hint="eastAsia" w:asciiTheme="minorEastAsia" w:hAnsiTheme="minorEastAsia"/>
          <w:sz w:val="24"/>
          <w:szCs w:val="24"/>
        </w:rPr>
        <w:t>省综合改革试点专业2个,河南省教学团队1个。</w:t>
      </w:r>
      <w:r>
        <w:rPr>
          <w:rFonts w:hint="eastAsia"/>
          <w:sz w:val="24"/>
          <w:szCs w:val="24"/>
        </w:rPr>
        <w:t>在高等教育转型发展的关键时期，教师教育专业面临着机遇和挑战。《河南省教育事业发展“十三五”规划》指出：高等教育应注重内涵建设，分类体系更加科学，培养体系更加完善，学科专业结构更加合理，教育质量持续提升。以此，周口师范学院新增教育硕士授权点，对于教师教育专业学科发展、学历教育层次提升专业结构优化、教学质量提高将起到巨大的促进作用。</w:t>
      </w:r>
    </w:p>
    <w:p>
      <w:pPr>
        <w:spacing w:line="420" w:lineRule="exact"/>
        <w:ind w:firstLine="482" w:firstLineChars="200"/>
        <w:rPr>
          <w:rFonts w:ascii="仿宋" w:hAnsi="仿宋" w:eastAsia="仿宋"/>
          <w:b/>
          <w:sz w:val="24"/>
          <w:szCs w:val="24"/>
        </w:rPr>
      </w:pPr>
      <w:r>
        <w:rPr>
          <w:rFonts w:hint="eastAsia" w:ascii="仿宋" w:hAnsi="仿宋" w:eastAsia="仿宋"/>
          <w:b/>
          <w:sz w:val="24"/>
          <w:szCs w:val="24"/>
        </w:rPr>
        <w:t>四、周口师范学院教师教育专业具备培养教育硕士的条件</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教师教育专业是周口师范学院优势专业，已有43年的办学历史，形成了“立足基础教育、强化实践教学、提升道德素养”的人才培养思路。教师教育专业2002年开始本科招生，在学科建设、师资培训、课程设置、实践教学等方面积累了一定的经验，形成了自身的特色。</w:t>
      </w:r>
    </w:p>
    <w:p>
      <w:pPr>
        <w:spacing w:line="500" w:lineRule="exact"/>
        <w:ind w:firstLine="482" w:firstLineChars="200"/>
        <w:rPr>
          <w:rFonts w:ascii="仿宋" w:hAnsi="仿宋" w:eastAsia="仿宋"/>
          <w:b/>
          <w:sz w:val="24"/>
          <w:szCs w:val="24"/>
        </w:rPr>
      </w:pPr>
      <w:r>
        <w:rPr>
          <w:rFonts w:hint="eastAsia" w:ascii="仿宋" w:hAnsi="仿宋" w:eastAsia="仿宋"/>
          <w:b/>
          <w:sz w:val="24"/>
          <w:szCs w:val="24"/>
        </w:rPr>
        <w:t>(一)良好的教学环境</w:t>
      </w:r>
    </w:p>
    <w:p>
      <w:pPr>
        <w:spacing w:line="420" w:lineRule="exact"/>
        <w:ind w:firstLine="482" w:firstLineChars="200"/>
        <w:rPr>
          <w:rFonts w:asciiTheme="minorEastAsia" w:hAnsiTheme="minorEastAsia"/>
          <w:sz w:val="24"/>
          <w:szCs w:val="24"/>
        </w:rPr>
      </w:pPr>
      <w:r>
        <w:rPr>
          <w:rFonts w:hint="eastAsia" w:ascii="仿宋" w:hAnsi="仿宋" w:eastAsia="仿宋"/>
          <w:b/>
          <w:sz w:val="24"/>
          <w:szCs w:val="24"/>
        </w:rPr>
        <w:t>1.学科整体实力较强。</w:t>
      </w:r>
      <w:r>
        <w:rPr>
          <w:rFonts w:hint="eastAsia" w:asciiTheme="minorEastAsia" w:hAnsiTheme="minorEastAsia"/>
          <w:sz w:val="24"/>
          <w:szCs w:val="24"/>
        </w:rPr>
        <w:t>现有省级重点学科1个，省级特色专业3个,省级综合改革试点专业2个,省级教学团队1个,省级教师教育训练中心1个，教育厅人文社科重点研究基地1个、河南省高等学校精品课程1门，河南省教师教育精品资源共享课程4门。省级教学名师、教育系统先进个人6人，省级重点学科带头人2人，省厅级学术技术带头人8人，省级中青年骨干教师5人，教育厅优秀管理人才1人。</w:t>
      </w:r>
    </w:p>
    <w:p>
      <w:pPr>
        <w:spacing w:line="420" w:lineRule="exact"/>
        <w:ind w:firstLine="482" w:firstLineChars="200"/>
        <w:rPr>
          <w:rFonts w:asciiTheme="minorEastAsia" w:hAnsiTheme="minorEastAsia"/>
          <w:sz w:val="24"/>
          <w:szCs w:val="24"/>
        </w:rPr>
      </w:pPr>
      <w:r>
        <w:rPr>
          <w:rFonts w:hint="eastAsia" w:asciiTheme="minorEastAsia" w:hAnsiTheme="minorEastAsia"/>
          <w:b/>
          <w:sz w:val="24"/>
          <w:szCs w:val="24"/>
        </w:rPr>
        <w:t>2.教学团队实力较强。</w:t>
      </w:r>
      <w:r>
        <w:rPr>
          <w:rFonts w:hint="eastAsia" w:asciiTheme="minorEastAsia" w:hAnsiTheme="minorEastAsia"/>
          <w:sz w:val="24"/>
          <w:szCs w:val="24"/>
        </w:rPr>
        <w:t>教育管理及学科教学两个领域四个专业方向形成了43人的学科队伍，其中，行业教师10人,占23.3%；具有博士学位17人，占39.53%；教授17人,副教授21人,高级职称占比88.37%；硕士生导师20人，占46.51%；45岁以下专任教师19人,占44.18%；教育学、心理学教师10人。</w:t>
      </w:r>
    </w:p>
    <w:p>
      <w:pPr>
        <w:spacing w:line="420" w:lineRule="exact"/>
        <w:ind w:firstLine="482" w:firstLineChars="200"/>
        <w:rPr>
          <w:rFonts w:asciiTheme="minorEastAsia" w:hAnsiTheme="minorEastAsia"/>
          <w:sz w:val="24"/>
          <w:szCs w:val="24"/>
        </w:rPr>
      </w:pPr>
      <w:r>
        <w:rPr>
          <w:rFonts w:hint="eastAsia" w:asciiTheme="minorEastAsia" w:hAnsiTheme="minorEastAsia"/>
          <w:b/>
          <w:sz w:val="24"/>
          <w:szCs w:val="24"/>
        </w:rPr>
        <w:t>3.科研成果较为丰硕。</w:t>
      </w:r>
      <w:r>
        <w:rPr>
          <w:rFonts w:hint="eastAsia" w:asciiTheme="minorEastAsia" w:hAnsiTheme="minorEastAsia"/>
          <w:sz w:val="24"/>
          <w:szCs w:val="24"/>
        </w:rPr>
        <w:t>五年来，获批国家级课题11项，省部级课题36项，资助金额共451.1万元。出版学术专著35部，发表高层次学术论文215篇，省部级教学、科研奖励19项，发明专利2项。</w:t>
      </w:r>
    </w:p>
    <w:p>
      <w:pPr>
        <w:spacing w:line="420" w:lineRule="exact"/>
        <w:ind w:firstLine="482" w:firstLineChars="200"/>
        <w:rPr>
          <w:rFonts w:asciiTheme="minorEastAsia" w:hAnsiTheme="minorEastAsia"/>
          <w:sz w:val="24"/>
          <w:szCs w:val="24"/>
        </w:rPr>
      </w:pPr>
      <w:r>
        <w:rPr>
          <w:rFonts w:hint="eastAsia" w:asciiTheme="minorEastAsia" w:hAnsiTheme="minorEastAsia"/>
          <w:b/>
          <w:sz w:val="24"/>
          <w:szCs w:val="24"/>
        </w:rPr>
        <w:t>4.教学资源丰富。</w:t>
      </w:r>
      <w:r>
        <w:rPr>
          <w:rFonts w:hint="eastAsia" w:asciiTheme="minorEastAsia" w:hAnsiTheme="minorEastAsia"/>
          <w:sz w:val="24"/>
          <w:szCs w:val="24"/>
        </w:rPr>
        <w:t>教育实习基地29个，研究生教育实习基地10个，教育类专业期刊50余种，教育类专业图书11.6万册，微格教室12间，拥有中国知网、万方学位论文、超星图书馆、万文期刊数据库、书生电子图书、汉籍数字图书馆、师范教育专题数据库、就业创业数字图书馆数据库、数图中外文电子图书等数据库30余个。</w:t>
      </w:r>
    </w:p>
    <w:p>
      <w:pPr>
        <w:spacing w:line="420" w:lineRule="exact"/>
        <w:ind w:firstLine="482" w:firstLineChars="200"/>
        <w:rPr>
          <w:rFonts w:asciiTheme="minorEastAsia" w:hAnsiTheme="minorEastAsia"/>
          <w:sz w:val="24"/>
          <w:szCs w:val="24"/>
        </w:rPr>
      </w:pPr>
      <w:r>
        <w:rPr>
          <w:rFonts w:hint="eastAsia" w:asciiTheme="minorEastAsia" w:hAnsiTheme="minorEastAsia"/>
          <w:b/>
          <w:sz w:val="24"/>
          <w:szCs w:val="24"/>
        </w:rPr>
        <w:t>5.有一定的硕士研究生培养经验。</w:t>
      </w:r>
      <w:r>
        <w:rPr>
          <w:rFonts w:hint="eastAsia" w:asciiTheme="minorEastAsia" w:hAnsiTheme="minorEastAsia"/>
          <w:sz w:val="24"/>
          <w:szCs w:val="24"/>
        </w:rPr>
        <w:t>学科队伍中兼职硕士生导师20人，获河南省教育教学成果奖一等奖5项。应用数学、思想政治教育两个学科与郑州大学联合培养硕士研究生，已有19人获硕士学位。</w:t>
      </w:r>
    </w:p>
    <w:p>
      <w:pPr>
        <w:spacing w:line="500" w:lineRule="exact"/>
        <w:ind w:firstLine="354" w:firstLineChars="147"/>
        <w:rPr>
          <w:rFonts w:ascii="仿宋" w:hAnsi="仿宋" w:eastAsia="仿宋"/>
          <w:b/>
          <w:sz w:val="24"/>
          <w:szCs w:val="24"/>
        </w:rPr>
      </w:pPr>
      <w:r>
        <w:rPr>
          <w:rFonts w:hint="eastAsia" w:ascii="仿宋" w:hAnsi="仿宋" w:eastAsia="仿宋"/>
          <w:b/>
          <w:sz w:val="24"/>
          <w:szCs w:val="24"/>
        </w:rPr>
        <w:t>（二）完善的实践教学机制</w:t>
      </w:r>
    </w:p>
    <w:p>
      <w:pPr>
        <w:spacing w:line="420" w:lineRule="exact"/>
        <w:ind w:firstLine="482" w:firstLineChars="200"/>
        <w:rPr>
          <w:rFonts w:asciiTheme="minorEastAsia" w:hAnsiTheme="minorEastAsia"/>
          <w:sz w:val="24"/>
          <w:szCs w:val="24"/>
        </w:rPr>
      </w:pPr>
      <w:r>
        <w:rPr>
          <w:rFonts w:hint="eastAsia" w:asciiTheme="minorEastAsia" w:hAnsiTheme="minorEastAsia"/>
          <w:b/>
          <w:sz w:val="24"/>
          <w:szCs w:val="24"/>
        </w:rPr>
        <w:t>1.教学活动中注重培养学生的实践能力。</w:t>
      </w:r>
      <w:r>
        <w:rPr>
          <w:rFonts w:hint="eastAsia" w:asciiTheme="minorEastAsia" w:hAnsiTheme="minorEastAsia"/>
          <w:sz w:val="24"/>
          <w:szCs w:val="24"/>
        </w:rPr>
        <w:t>结合“国培计划”、“卓越教师培育计划” 的实施，“双导师制”、“中小学名师进课堂”的推行，建立“教育服务—教学体验—教学参入”的实践教学体系，构建集“理论教育、技能教育和岗位教育”于一体的 “全程实践教育模式”。</w:t>
      </w:r>
    </w:p>
    <w:p>
      <w:pPr>
        <w:spacing w:line="420" w:lineRule="exact"/>
        <w:ind w:firstLine="482" w:firstLineChars="200"/>
        <w:rPr>
          <w:rFonts w:asciiTheme="minorEastAsia" w:hAnsiTheme="minorEastAsia"/>
          <w:sz w:val="24"/>
          <w:szCs w:val="24"/>
        </w:rPr>
      </w:pPr>
      <w:r>
        <w:rPr>
          <w:rFonts w:hint="eastAsia" w:asciiTheme="minorEastAsia" w:hAnsiTheme="minorEastAsia"/>
          <w:b/>
          <w:sz w:val="24"/>
          <w:szCs w:val="24"/>
        </w:rPr>
        <w:t>2.与地方教育机构开展多层次、多维度合作。</w:t>
      </w:r>
      <w:r>
        <w:rPr>
          <w:rFonts w:hint="eastAsia" w:asciiTheme="minorEastAsia" w:hAnsiTheme="minorEastAsia"/>
          <w:sz w:val="24"/>
          <w:szCs w:val="24"/>
        </w:rPr>
        <w:t>与周口市、漯河市政府构建“河南省教师教育联动发展共同体”，建立高等师范院校、市县教育行政部门、县级教师发展中心共同发展的联动机制。与周口市政府合作共建“河南省教师教育创新实验区”，形成政府、高校、中小学三位一体合作机制，促进了教师教育学生和中小学教师的专业发展。</w:t>
      </w:r>
    </w:p>
    <w:p>
      <w:pPr>
        <w:spacing w:line="500" w:lineRule="exact"/>
        <w:ind w:firstLine="354" w:firstLineChars="147"/>
        <w:rPr>
          <w:rFonts w:ascii="仿宋" w:hAnsi="仿宋" w:eastAsia="仿宋"/>
          <w:b/>
          <w:sz w:val="24"/>
          <w:szCs w:val="24"/>
        </w:rPr>
      </w:pPr>
      <w:r>
        <w:rPr>
          <w:rFonts w:hint="eastAsia" w:ascii="仿宋" w:hAnsi="仿宋" w:eastAsia="仿宋"/>
          <w:b/>
          <w:sz w:val="24"/>
          <w:szCs w:val="24"/>
        </w:rPr>
        <w:t>（三）较高的人才培养质量</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教师教育专业坚持社会主义办学方向，注重学生全面发展。五年来，培养本科生3591人，获国家级、省部级奖励300余项。毕业生就业率92%以上，连年被评为“河南省大中专毕业生就业工作先进集体”。毕业生思想道德素质满意率90%以上，专业知识和基本技能满意率90%以上，综合素质满意率96%以上。毕业生获国家级、省级教学名师，省级骨干教师、市级教学名师近百人次。周口地区中学校长、教师、教学名师60%都是我校毕业生。</w:t>
      </w:r>
    </w:p>
    <w:p>
      <w:pPr>
        <w:spacing w:line="420" w:lineRule="exact"/>
        <w:ind w:firstLine="480" w:firstLineChars="200"/>
        <w:rPr>
          <w:sz w:val="24"/>
          <w:szCs w:val="24"/>
        </w:rPr>
      </w:pPr>
      <w:r>
        <w:rPr>
          <w:rFonts w:hint="eastAsia"/>
          <w:sz w:val="24"/>
          <w:szCs w:val="24"/>
        </w:rPr>
        <w:t>综上，周口师范学院新增教育硕士专业学位授权点（建设单位），对提升我校学科建设的整体水平，改善河南省教育硕士专业学位授权点结构布局，改变地方基础教育学历层次落后局面，满足地方经济社会发展对高层次人才的需求，具有十分重要的意义。周口师范学院教师教育专业具有良好的办学环境和先进的办学理念，已经具备了增设教育硕士学位授权点的基本条件，有能力、有信心、有条件、有措施把教育硕士专业学位授权点办好，为河南省、周口市经济社会发展作出积极贡献。</w:t>
      </w:r>
    </w:p>
    <w:p>
      <w:pPr>
        <w:spacing w:line="420" w:lineRule="exact"/>
        <w:rPr>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E"/>
    <w:rsid w:val="000079F4"/>
    <w:rsid w:val="00010AA7"/>
    <w:rsid w:val="00012D81"/>
    <w:rsid w:val="0003750F"/>
    <w:rsid w:val="00072AA4"/>
    <w:rsid w:val="000762E2"/>
    <w:rsid w:val="0009308D"/>
    <w:rsid w:val="000A7900"/>
    <w:rsid w:val="000B3D4B"/>
    <w:rsid w:val="000B3D6C"/>
    <w:rsid w:val="000B7978"/>
    <w:rsid w:val="000C00F6"/>
    <w:rsid w:val="000C36D5"/>
    <w:rsid w:val="00104ED7"/>
    <w:rsid w:val="00115182"/>
    <w:rsid w:val="001253A9"/>
    <w:rsid w:val="00171BB3"/>
    <w:rsid w:val="00184C55"/>
    <w:rsid w:val="00193F75"/>
    <w:rsid w:val="00195444"/>
    <w:rsid w:val="001B61A3"/>
    <w:rsid w:val="001C7B0E"/>
    <w:rsid w:val="001E3818"/>
    <w:rsid w:val="001E3E6B"/>
    <w:rsid w:val="001F13CC"/>
    <w:rsid w:val="001F3218"/>
    <w:rsid w:val="00200536"/>
    <w:rsid w:val="0020203F"/>
    <w:rsid w:val="002032D8"/>
    <w:rsid w:val="00206D4E"/>
    <w:rsid w:val="00210B71"/>
    <w:rsid w:val="00213C71"/>
    <w:rsid w:val="00231F94"/>
    <w:rsid w:val="00242225"/>
    <w:rsid w:val="00243C79"/>
    <w:rsid w:val="0025191C"/>
    <w:rsid w:val="0028087C"/>
    <w:rsid w:val="0028210B"/>
    <w:rsid w:val="002861A5"/>
    <w:rsid w:val="002920ED"/>
    <w:rsid w:val="00294B70"/>
    <w:rsid w:val="002C362B"/>
    <w:rsid w:val="002D47FC"/>
    <w:rsid w:val="002E30D5"/>
    <w:rsid w:val="002F04F5"/>
    <w:rsid w:val="003200EA"/>
    <w:rsid w:val="0032117C"/>
    <w:rsid w:val="00323638"/>
    <w:rsid w:val="0033728C"/>
    <w:rsid w:val="00350709"/>
    <w:rsid w:val="00354755"/>
    <w:rsid w:val="00355596"/>
    <w:rsid w:val="0035757E"/>
    <w:rsid w:val="003658B7"/>
    <w:rsid w:val="00383435"/>
    <w:rsid w:val="003A3179"/>
    <w:rsid w:val="003A4C86"/>
    <w:rsid w:val="003A614E"/>
    <w:rsid w:val="003B5D8F"/>
    <w:rsid w:val="003D053E"/>
    <w:rsid w:val="003D33A4"/>
    <w:rsid w:val="003F26D1"/>
    <w:rsid w:val="00400753"/>
    <w:rsid w:val="00405B3C"/>
    <w:rsid w:val="00412562"/>
    <w:rsid w:val="0043292F"/>
    <w:rsid w:val="00433AC7"/>
    <w:rsid w:val="00434876"/>
    <w:rsid w:val="0045439F"/>
    <w:rsid w:val="00455BD0"/>
    <w:rsid w:val="00461C4B"/>
    <w:rsid w:val="0046649F"/>
    <w:rsid w:val="00470A5D"/>
    <w:rsid w:val="0047153A"/>
    <w:rsid w:val="00480959"/>
    <w:rsid w:val="00491E1C"/>
    <w:rsid w:val="004A14D5"/>
    <w:rsid w:val="004A569F"/>
    <w:rsid w:val="004E21B1"/>
    <w:rsid w:val="004E6BDB"/>
    <w:rsid w:val="004F54DC"/>
    <w:rsid w:val="00506211"/>
    <w:rsid w:val="00506A8C"/>
    <w:rsid w:val="00512E68"/>
    <w:rsid w:val="005262BF"/>
    <w:rsid w:val="005369B0"/>
    <w:rsid w:val="00544B82"/>
    <w:rsid w:val="00576D87"/>
    <w:rsid w:val="00577D43"/>
    <w:rsid w:val="00582F6C"/>
    <w:rsid w:val="00592834"/>
    <w:rsid w:val="005A76BB"/>
    <w:rsid w:val="005C6990"/>
    <w:rsid w:val="005C6FEC"/>
    <w:rsid w:val="005D729A"/>
    <w:rsid w:val="005F17CE"/>
    <w:rsid w:val="00603AB2"/>
    <w:rsid w:val="00606AFD"/>
    <w:rsid w:val="00611F09"/>
    <w:rsid w:val="00655406"/>
    <w:rsid w:val="00655A8C"/>
    <w:rsid w:val="00673B8E"/>
    <w:rsid w:val="006753CE"/>
    <w:rsid w:val="00680FB9"/>
    <w:rsid w:val="006A1DE9"/>
    <w:rsid w:val="006A3D67"/>
    <w:rsid w:val="006C35EF"/>
    <w:rsid w:val="006D2EAC"/>
    <w:rsid w:val="006F59E1"/>
    <w:rsid w:val="00703759"/>
    <w:rsid w:val="007053B6"/>
    <w:rsid w:val="007054B5"/>
    <w:rsid w:val="00715D48"/>
    <w:rsid w:val="00720A18"/>
    <w:rsid w:val="0072431A"/>
    <w:rsid w:val="00733C2C"/>
    <w:rsid w:val="00736E79"/>
    <w:rsid w:val="00740FE8"/>
    <w:rsid w:val="00743057"/>
    <w:rsid w:val="00744D29"/>
    <w:rsid w:val="00756F6C"/>
    <w:rsid w:val="007627CD"/>
    <w:rsid w:val="00773FF7"/>
    <w:rsid w:val="007931A4"/>
    <w:rsid w:val="00794614"/>
    <w:rsid w:val="007A45F9"/>
    <w:rsid w:val="007F3983"/>
    <w:rsid w:val="008022AB"/>
    <w:rsid w:val="0080311E"/>
    <w:rsid w:val="00816E3B"/>
    <w:rsid w:val="008224A0"/>
    <w:rsid w:val="008255EC"/>
    <w:rsid w:val="00842F73"/>
    <w:rsid w:val="00853A86"/>
    <w:rsid w:val="008772AD"/>
    <w:rsid w:val="00882DD4"/>
    <w:rsid w:val="008A270C"/>
    <w:rsid w:val="008C1045"/>
    <w:rsid w:val="008C70A3"/>
    <w:rsid w:val="008D0A12"/>
    <w:rsid w:val="008E27C6"/>
    <w:rsid w:val="008F3E62"/>
    <w:rsid w:val="008F754B"/>
    <w:rsid w:val="00927CF3"/>
    <w:rsid w:val="00933AC9"/>
    <w:rsid w:val="009430AA"/>
    <w:rsid w:val="0095083A"/>
    <w:rsid w:val="009632CA"/>
    <w:rsid w:val="00964ECC"/>
    <w:rsid w:val="0097659D"/>
    <w:rsid w:val="00981651"/>
    <w:rsid w:val="009874C9"/>
    <w:rsid w:val="009A075F"/>
    <w:rsid w:val="009B64DA"/>
    <w:rsid w:val="009D3CC2"/>
    <w:rsid w:val="009D63BB"/>
    <w:rsid w:val="009E07DA"/>
    <w:rsid w:val="00A01E9F"/>
    <w:rsid w:val="00A143DD"/>
    <w:rsid w:val="00A316F5"/>
    <w:rsid w:val="00A36C10"/>
    <w:rsid w:val="00A44287"/>
    <w:rsid w:val="00A4626D"/>
    <w:rsid w:val="00A53B89"/>
    <w:rsid w:val="00A6130D"/>
    <w:rsid w:val="00A674C0"/>
    <w:rsid w:val="00A714EA"/>
    <w:rsid w:val="00A857BD"/>
    <w:rsid w:val="00AA1FA8"/>
    <w:rsid w:val="00AB2D97"/>
    <w:rsid w:val="00AE40CD"/>
    <w:rsid w:val="00B1416F"/>
    <w:rsid w:val="00B22798"/>
    <w:rsid w:val="00B57200"/>
    <w:rsid w:val="00B62973"/>
    <w:rsid w:val="00B652C0"/>
    <w:rsid w:val="00B81485"/>
    <w:rsid w:val="00B820FC"/>
    <w:rsid w:val="00B82331"/>
    <w:rsid w:val="00B9026E"/>
    <w:rsid w:val="00B90B06"/>
    <w:rsid w:val="00BB0F9C"/>
    <w:rsid w:val="00BB6477"/>
    <w:rsid w:val="00BD48F2"/>
    <w:rsid w:val="00BD6BA8"/>
    <w:rsid w:val="00BE009E"/>
    <w:rsid w:val="00BE312E"/>
    <w:rsid w:val="00BF0E30"/>
    <w:rsid w:val="00BF49CA"/>
    <w:rsid w:val="00C0427C"/>
    <w:rsid w:val="00C25C3D"/>
    <w:rsid w:val="00C27A2F"/>
    <w:rsid w:val="00C41389"/>
    <w:rsid w:val="00C44E7A"/>
    <w:rsid w:val="00C45A32"/>
    <w:rsid w:val="00C622DA"/>
    <w:rsid w:val="00C6333C"/>
    <w:rsid w:val="00C9525A"/>
    <w:rsid w:val="00CA13EE"/>
    <w:rsid w:val="00CC4427"/>
    <w:rsid w:val="00CD3BAF"/>
    <w:rsid w:val="00CD6880"/>
    <w:rsid w:val="00CE562A"/>
    <w:rsid w:val="00D1034F"/>
    <w:rsid w:val="00D228F1"/>
    <w:rsid w:val="00D22D99"/>
    <w:rsid w:val="00D33CDA"/>
    <w:rsid w:val="00D37842"/>
    <w:rsid w:val="00D37F23"/>
    <w:rsid w:val="00D6438A"/>
    <w:rsid w:val="00D71FAC"/>
    <w:rsid w:val="00D739F0"/>
    <w:rsid w:val="00D77BEE"/>
    <w:rsid w:val="00D83F47"/>
    <w:rsid w:val="00D935ED"/>
    <w:rsid w:val="00DB28E8"/>
    <w:rsid w:val="00DC0AA8"/>
    <w:rsid w:val="00DF1478"/>
    <w:rsid w:val="00E008F1"/>
    <w:rsid w:val="00E12BEF"/>
    <w:rsid w:val="00E41E6D"/>
    <w:rsid w:val="00E41F7A"/>
    <w:rsid w:val="00E70582"/>
    <w:rsid w:val="00E802C2"/>
    <w:rsid w:val="00E81DA4"/>
    <w:rsid w:val="00E95EB4"/>
    <w:rsid w:val="00EA17B1"/>
    <w:rsid w:val="00EC315E"/>
    <w:rsid w:val="00EC6EA4"/>
    <w:rsid w:val="00ED2AE5"/>
    <w:rsid w:val="00ED3DCD"/>
    <w:rsid w:val="00ED7676"/>
    <w:rsid w:val="00EF0DE6"/>
    <w:rsid w:val="00EF4D99"/>
    <w:rsid w:val="00F74052"/>
    <w:rsid w:val="00F83B5E"/>
    <w:rsid w:val="00F85261"/>
    <w:rsid w:val="00F963C3"/>
    <w:rsid w:val="00FB17B2"/>
    <w:rsid w:val="00FB4B64"/>
    <w:rsid w:val="00FD0CA2"/>
    <w:rsid w:val="00FF6473"/>
    <w:rsid w:val="023F6A7D"/>
    <w:rsid w:val="06DB364E"/>
    <w:rsid w:val="578E7D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uiPriority w:val="99"/>
    <w:rPr>
      <w:b/>
      <w:bCs/>
    </w:rPr>
  </w:style>
  <w:style w:type="paragraph" w:styleId="3">
    <w:name w:val="annotation text"/>
    <w:basedOn w:val="1"/>
    <w:link w:val="14"/>
    <w:unhideWhenUsed/>
    <w:uiPriority w:val="99"/>
    <w:pPr>
      <w:jc w:val="left"/>
    </w:pPr>
  </w:style>
  <w:style w:type="paragraph" w:styleId="4">
    <w:name w:val="Balloon Text"/>
    <w:basedOn w:val="1"/>
    <w:link w:val="16"/>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7"/>
    <w:link w:val="6"/>
    <w:semiHidden/>
    <w:uiPriority w:val="99"/>
    <w:rPr>
      <w:sz w:val="18"/>
      <w:szCs w:val="18"/>
    </w:rPr>
  </w:style>
  <w:style w:type="character" w:customStyle="1" w:styleId="12">
    <w:name w:val="页脚 Char"/>
    <w:basedOn w:val="7"/>
    <w:link w:val="5"/>
    <w:semiHidden/>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文字 Char"/>
    <w:basedOn w:val="7"/>
    <w:link w:val="3"/>
    <w:semiHidden/>
    <w:uiPriority w:val="99"/>
  </w:style>
  <w:style w:type="character" w:customStyle="1" w:styleId="15">
    <w:name w:val="批注主题 Char"/>
    <w:basedOn w:val="14"/>
    <w:link w:val="2"/>
    <w:semiHidden/>
    <w:uiPriority w:val="99"/>
    <w:rPr>
      <w:b/>
      <w:bCs/>
    </w:rPr>
  </w:style>
  <w:style w:type="character" w:customStyle="1" w:styleId="16">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861</Words>
  <Characters>4909</Characters>
  <Lines>40</Lines>
  <Paragraphs>11</Paragraphs>
  <TotalTime>0</TotalTime>
  <ScaleCrop>false</ScaleCrop>
  <LinksUpToDate>false</LinksUpToDate>
  <CharactersWithSpaces>5759</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2017-07-20T08:51:00Z</dcterms:created>
  <dc:creator>lenovo</dc:creator>
  <cp:lastModifiedBy>Administrator</cp:lastModifiedBy>
  <cp:lastPrinted>2017-07-30T10:34:37Z</cp:lastPrinted>
  <dcterms:modified xsi:type="dcterms:W3CDTF">2017-07-30T10:46:43Z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